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0180" w14:textId="77777777" w:rsidR="00726959" w:rsidRDefault="00726959" w:rsidP="00726959">
      <w:pPr>
        <w:rPr>
          <w:lang w:val="ro-RO"/>
        </w:rPr>
      </w:pPr>
      <w:r>
        <w:rPr>
          <w:lang w:val="ro-RO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10529C" w14:textId="77777777" w:rsidR="00726959" w:rsidRDefault="00726959" w:rsidP="00726959">
      <w:pPr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                        </w:t>
      </w:r>
    </w:p>
    <w:p w14:paraId="163DEC9D" w14:textId="77777777" w:rsidR="00726959" w:rsidRDefault="00726959" w:rsidP="00726959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AAF084" w14:textId="4217E061" w:rsidR="00726959" w:rsidRDefault="00726959" w:rsidP="00726959">
      <w:pPr>
        <w:rPr>
          <w:b/>
          <w:lang w:val="ro-RO"/>
        </w:rPr>
      </w:pPr>
      <w:r>
        <w:rPr>
          <w:lang w:val="ro-RO"/>
        </w:rPr>
        <w:t xml:space="preserve">Consiliul </w:t>
      </w:r>
      <w:proofErr w:type="spellStart"/>
      <w:r>
        <w:rPr>
          <w:lang w:val="ro-RO"/>
        </w:rPr>
        <w:t>ocal</w:t>
      </w:r>
      <w:proofErr w:type="spellEnd"/>
      <w:r>
        <w:rPr>
          <w:lang w:val="ro-RO"/>
        </w:rPr>
        <w:t xml:space="preserve">                                                                                                                                         </w:t>
      </w:r>
      <w:r>
        <w:rPr>
          <w:b/>
          <w:lang w:val="ro-RO"/>
        </w:rPr>
        <w:t xml:space="preserve">                        </w:t>
      </w:r>
      <w:r>
        <w:rPr>
          <w:bCs/>
          <w:lang w:val="ro-RO"/>
        </w:rPr>
        <w:t xml:space="preserve">                                                                         </w:t>
      </w:r>
    </w:p>
    <w:p w14:paraId="18D9DB9C" w14:textId="27718049" w:rsidR="00726959" w:rsidRDefault="00726959" w:rsidP="00726959">
      <w:pPr>
        <w:jc w:val="center"/>
        <w:rPr>
          <w:b/>
          <w:lang w:val="ro-RO"/>
        </w:rPr>
      </w:pPr>
      <w:r>
        <w:rPr>
          <w:b/>
          <w:lang w:val="ro-RO"/>
        </w:rPr>
        <w:t xml:space="preserve">HOTĂRÂREA nr. 87 </w:t>
      </w:r>
    </w:p>
    <w:p w14:paraId="78CAB979" w14:textId="72E2ACE9" w:rsidR="00726959" w:rsidRDefault="00726959" w:rsidP="00726959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26 noiembrie 2025 </w:t>
      </w:r>
    </w:p>
    <w:p w14:paraId="143A53F1" w14:textId="77777777" w:rsidR="00726959" w:rsidRDefault="00726959" w:rsidP="00726959">
      <w:pPr>
        <w:jc w:val="center"/>
        <w:rPr>
          <w:b/>
          <w:lang w:val="ro-RO"/>
        </w:rPr>
      </w:pPr>
    </w:p>
    <w:p w14:paraId="6D1184FB" w14:textId="2907BFEF" w:rsidR="00726959" w:rsidRDefault="00726959" w:rsidP="005177E1">
      <w:pPr>
        <w:ind w:firstLine="708"/>
        <w:jc w:val="both"/>
        <w:rPr>
          <w:rFonts w:ascii="Verdana" w:hAnsi="Verdana" w:cs="Verdana"/>
          <w:b/>
          <w:bCs/>
          <w:sz w:val="17"/>
          <w:szCs w:val="17"/>
          <w:lang w:val="ro-RO"/>
        </w:rPr>
      </w:pPr>
      <w:r>
        <w:rPr>
          <w:bCs/>
          <w:lang w:val="ro-RO"/>
        </w:rPr>
        <w:t xml:space="preserve">Privind  alocarea unui număr cadastral nou pentru parcela de teren  intravilan in </w:t>
      </w:r>
      <w:proofErr w:type="spellStart"/>
      <w:r>
        <w:rPr>
          <w:bCs/>
          <w:lang w:val="ro-RO"/>
        </w:rPr>
        <w:t>suprafaţă</w:t>
      </w:r>
      <w:proofErr w:type="spellEnd"/>
      <w:r>
        <w:rPr>
          <w:bCs/>
          <w:lang w:val="ro-RO"/>
        </w:rPr>
        <w:t xml:space="preserve"> de </w:t>
      </w:r>
      <w:r w:rsidRPr="00D0261D">
        <w:rPr>
          <w:lang w:val="ro-RO"/>
        </w:rPr>
        <w:t>524 mp</w:t>
      </w:r>
      <w:r>
        <w:rPr>
          <w:bCs/>
          <w:lang w:val="ro-RO"/>
        </w:rPr>
        <w:t xml:space="preserve"> , situat in </w:t>
      </w:r>
      <w:proofErr w:type="spellStart"/>
      <w:r>
        <w:rPr>
          <w:bCs/>
          <w:lang w:val="ro-RO"/>
        </w:rPr>
        <w:t>Com</w:t>
      </w:r>
      <w:proofErr w:type="spellEnd"/>
      <w:r>
        <w:rPr>
          <w:bCs/>
          <w:lang w:val="ro-RO"/>
        </w:rPr>
        <w:t xml:space="preserve">. Nadrag, Str. Poieni,  nr.1A, lângă </w:t>
      </w:r>
      <w:proofErr w:type="spellStart"/>
      <w:r>
        <w:rPr>
          <w:bCs/>
          <w:lang w:val="ro-RO"/>
        </w:rPr>
        <w:t>nr.top</w:t>
      </w:r>
      <w:proofErr w:type="spellEnd"/>
      <w:r>
        <w:rPr>
          <w:bCs/>
          <w:lang w:val="ro-RO"/>
        </w:rPr>
        <w:t xml:space="preserve">. </w:t>
      </w:r>
      <w:r w:rsidRPr="00EE01B2">
        <w:rPr>
          <w:bCs/>
          <w:lang w:val="ro-RO"/>
        </w:rPr>
        <w:t xml:space="preserve">1/1/1/a/1/a/1/1/b/18/9/6/5/2/16/16/18 </w:t>
      </w:r>
      <w:r>
        <w:rPr>
          <w:bCs/>
          <w:lang w:val="ro-RO"/>
        </w:rPr>
        <w:t xml:space="preserve">înscris in CF </w:t>
      </w:r>
      <w:r w:rsidRPr="00EE01B2">
        <w:rPr>
          <w:rFonts w:eastAsia="Times New Roman"/>
          <w:bCs/>
          <w:lang w:val="ro-RO"/>
        </w:rPr>
        <w:t>401883</w:t>
      </w:r>
      <w:r w:rsidRPr="00EE01B2">
        <w:rPr>
          <w:bCs/>
          <w:lang w:val="ro-RO"/>
        </w:rPr>
        <w:t xml:space="preserve"> </w:t>
      </w:r>
      <w:r>
        <w:rPr>
          <w:bCs/>
          <w:lang w:val="ro-RO"/>
        </w:rPr>
        <w:t xml:space="preserve"> Nadrag</w:t>
      </w:r>
      <w:r>
        <w:rPr>
          <w:i/>
          <w:lang w:val="ro-RO"/>
        </w:rPr>
        <w:t xml:space="preserve">, </w:t>
      </w:r>
      <w:r>
        <w:rPr>
          <w:lang w:val="ro-RO"/>
        </w:rPr>
        <w:t>teren neînscris în cartea funciară</w:t>
      </w:r>
      <w:r>
        <w:rPr>
          <w:rFonts w:ascii="Verdana" w:hAnsi="Verdana" w:cs="Verdana"/>
          <w:b/>
          <w:bCs/>
          <w:sz w:val="17"/>
          <w:szCs w:val="17"/>
          <w:lang w:val="ro-RO"/>
        </w:rPr>
        <w:t>.</w:t>
      </w:r>
    </w:p>
    <w:p w14:paraId="20511C2C" w14:textId="77777777" w:rsidR="005177E1" w:rsidRPr="005177E1" w:rsidRDefault="005177E1" w:rsidP="005177E1">
      <w:pPr>
        <w:ind w:firstLine="708"/>
        <w:jc w:val="both"/>
        <w:rPr>
          <w:rFonts w:ascii="Verdana" w:hAnsi="Verdana" w:cs="Verdana"/>
          <w:b/>
          <w:bCs/>
          <w:sz w:val="17"/>
          <w:szCs w:val="17"/>
          <w:lang w:val="ro-RO"/>
        </w:rPr>
      </w:pPr>
    </w:p>
    <w:p w14:paraId="5427949B" w14:textId="77777777" w:rsidR="00726959" w:rsidRDefault="00726959" w:rsidP="00726959">
      <w:pPr>
        <w:jc w:val="both"/>
        <w:rPr>
          <w:rStyle w:val="rezumat1"/>
          <w:rFonts w:ascii="Times New (W1)" w:hAnsi="Times New (W1)" w:cs="Times New (W1)" w:hint="eastAsia"/>
          <w:color w:val="0000FF"/>
          <w:lang w:val="ro-RO"/>
        </w:rPr>
      </w:pPr>
      <w:r>
        <w:rPr>
          <w:lang w:val="ro-RO"/>
        </w:rPr>
        <w:t xml:space="preserve">              Consiliul Local al comunei Nădrag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Timiş ;</w:t>
      </w:r>
    </w:p>
    <w:p w14:paraId="0D7CEF3B" w14:textId="6D0B5E68" w:rsidR="00726959" w:rsidRDefault="00726959" w:rsidP="00726959">
      <w:pPr>
        <w:jc w:val="both"/>
        <w:rPr>
          <w:spacing w:val="-10"/>
          <w:lang w:val="ro-RO"/>
        </w:rPr>
      </w:pPr>
      <w:r>
        <w:rPr>
          <w:rStyle w:val="rezumat1"/>
          <w:rFonts w:ascii="Times New (W1)" w:hAnsi="Times New (W1)" w:cs="Times New (W1)"/>
          <w:color w:val="0000FF"/>
          <w:lang w:val="ro-RO"/>
        </w:rPr>
        <w:t xml:space="preserve">             </w:t>
      </w:r>
      <w:r>
        <w:rPr>
          <w:lang w:val="ro-RO"/>
        </w:rPr>
        <w:t xml:space="preserve"> Având în vedere că, necesitatea bunei administrări a terenurilor din patrimoniul Primăriei Nădrag </w:t>
      </w:r>
      <w:r>
        <w:rPr>
          <w:spacing w:val="-10"/>
          <w:lang w:val="ro-RO"/>
        </w:rPr>
        <w:t>.</w:t>
      </w:r>
    </w:p>
    <w:p w14:paraId="75F17A52" w14:textId="4F9EE1C8" w:rsidR="0029252E" w:rsidRPr="0029252E" w:rsidRDefault="0029252E" w:rsidP="0029252E">
      <w:pPr>
        <w:suppressAutoHyphens w:val="0"/>
        <w:spacing w:line="259" w:lineRule="auto"/>
        <w:jc w:val="both"/>
        <w:rPr>
          <w:lang w:val="it-IT" w:eastAsia="zh-CN"/>
        </w:rPr>
      </w:pPr>
      <w:r>
        <w:rPr>
          <w:lang w:val="it-IT" w:eastAsia="zh-CN"/>
        </w:rPr>
        <w:t xml:space="preserve">              </w:t>
      </w:r>
      <w:r w:rsidRPr="0029252E">
        <w:rPr>
          <w:lang w:val="it-IT" w:eastAsia="zh-CN"/>
        </w:rPr>
        <w:t>Având în vedere referatul nr. 27</w:t>
      </w:r>
      <w:r>
        <w:rPr>
          <w:lang w:val="it-IT" w:eastAsia="zh-CN"/>
        </w:rPr>
        <w:t>40</w:t>
      </w:r>
      <w:r w:rsidRPr="0029252E">
        <w:rPr>
          <w:lang w:val="it-IT" w:eastAsia="zh-CN"/>
        </w:rPr>
        <w:t xml:space="preserve"> /21.11.2025 al primarului comunei Nădrag – iniţiator al proiectului de hotărâre;</w:t>
      </w:r>
    </w:p>
    <w:p w14:paraId="4BEE977F" w14:textId="3E965FDD" w:rsidR="0029252E" w:rsidRPr="0029252E" w:rsidRDefault="0029252E" w:rsidP="0029252E">
      <w:pPr>
        <w:suppressAutoHyphens w:val="0"/>
        <w:spacing w:line="240" w:lineRule="auto"/>
        <w:jc w:val="both"/>
        <w:rPr>
          <w:rFonts w:eastAsia="Times New Roman"/>
          <w:lang w:val="ro-RO" w:eastAsia="ro-RO"/>
        </w:rPr>
      </w:pPr>
      <w:r w:rsidRPr="0029252E">
        <w:rPr>
          <w:lang w:val="it-IT" w:eastAsia="zh-CN"/>
        </w:rPr>
        <w:t xml:space="preserve">              Av</w:t>
      </w:r>
      <w:proofErr w:type="spellStart"/>
      <w:r w:rsidRPr="0029252E">
        <w:rPr>
          <w:lang w:val="ro-RO" w:eastAsia="zh-CN"/>
        </w:rPr>
        <w:t>ând</w:t>
      </w:r>
      <w:proofErr w:type="spellEnd"/>
      <w:r w:rsidRPr="0029252E">
        <w:rPr>
          <w:lang w:val="ro-RO" w:eastAsia="zh-CN"/>
        </w:rPr>
        <w:t xml:space="preserve"> în vedere referatul  nr. 27</w:t>
      </w:r>
      <w:r>
        <w:rPr>
          <w:lang w:val="ro-RO" w:eastAsia="zh-CN"/>
        </w:rPr>
        <w:t>41</w:t>
      </w:r>
      <w:r w:rsidRPr="0029252E">
        <w:rPr>
          <w:lang w:val="ro-RO" w:eastAsia="zh-CN"/>
        </w:rPr>
        <w:t xml:space="preserve"> /21.11. 2025 al compartimentului de specialitate;</w:t>
      </w:r>
    </w:p>
    <w:p w14:paraId="1B36B8C8" w14:textId="794E1648" w:rsidR="0029252E" w:rsidRPr="0029252E" w:rsidRDefault="0029252E" w:rsidP="0029252E">
      <w:pPr>
        <w:suppressAutoHyphens w:val="0"/>
        <w:spacing w:line="240" w:lineRule="auto"/>
        <w:jc w:val="both"/>
        <w:rPr>
          <w:rFonts w:eastAsia="Times New Roman"/>
          <w:lang w:val="it-IT" w:eastAsia="ro-RO"/>
        </w:rPr>
      </w:pPr>
      <w:r w:rsidRPr="0029252E">
        <w:rPr>
          <w:rFonts w:eastAsia="Times New Roman"/>
          <w:lang w:val="it-IT" w:eastAsia="ro-RO"/>
        </w:rPr>
        <w:t xml:space="preserve">              Având în vedere avizul favorabil nr. 27</w:t>
      </w:r>
      <w:r>
        <w:rPr>
          <w:rFonts w:eastAsia="Times New Roman"/>
          <w:lang w:val="it-IT" w:eastAsia="ro-RO"/>
        </w:rPr>
        <w:t>42</w:t>
      </w:r>
      <w:r w:rsidRPr="0029252E">
        <w:rPr>
          <w:rFonts w:eastAsia="Times New Roman"/>
          <w:lang w:val="it-IT" w:eastAsia="ro-RO"/>
        </w:rPr>
        <w:t xml:space="preserve"> /21.11.2025 al comisiei de specialitate a Consiliului Local;</w:t>
      </w:r>
    </w:p>
    <w:p w14:paraId="1D5B9BBD" w14:textId="77777777" w:rsidR="0029252E" w:rsidRPr="0029252E" w:rsidRDefault="0029252E" w:rsidP="0029252E">
      <w:pPr>
        <w:suppressAutoHyphens w:val="0"/>
        <w:spacing w:line="240" w:lineRule="auto"/>
        <w:jc w:val="both"/>
        <w:rPr>
          <w:rFonts w:eastAsia="Times New Roman"/>
          <w:lang w:val="it-IT" w:eastAsia="en-US"/>
        </w:rPr>
      </w:pPr>
      <w:r w:rsidRPr="0029252E">
        <w:rPr>
          <w:rFonts w:eastAsia="Times New Roman"/>
          <w:lang w:val="it-IT" w:eastAsia="en-US"/>
        </w:rPr>
        <w:t xml:space="preserve">             Ținând cont de faptul că anunțul referitor la elaborarea proiectului de hotărâre a fost adus la cunoștința publicului. </w:t>
      </w:r>
    </w:p>
    <w:p w14:paraId="575BC06A" w14:textId="43B9C882" w:rsidR="0029252E" w:rsidRPr="0029252E" w:rsidRDefault="0029252E" w:rsidP="0029252E">
      <w:pPr>
        <w:suppressAutoHyphens w:val="0"/>
        <w:spacing w:line="240" w:lineRule="auto"/>
        <w:jc w:val="both"/>
        <w:rPr>
          <w:rFonts w:eastAsia="Times New Roman"/>
          <w:lang w:val="it-IT" w:eastAsia="en-US"/>
        </w:rPr>
      </w:pPr>
      <w:r w:rsidRPr="0029252E">
        <w:rPr>
          <w:rFonts w:eastAsia="Times New Roman"/>
          <w:lang w:val="it-IT" w:eastAsia="en-US"/>
        </w:rPr>
        <w:t xml:space="preserve">             Având în vedere că prezenta hotărâre este un act administrativ cu caracter normativ.</w:t>
      </w:r>
    </w:p>
    <w:p w14:paraId="477FB709" w14:textId="494E02E9" w:rsidR="00726959" w:rsidRDefault="00726959" w:rsidP="00726959">
      <w:pPr>
        <w:tabs>
          <w:tab w:val="left" w:pos="9540"/>
        </w:tabs>
        <w:ind w:right="-180"/>
        <w:jc w:val="both"/>
        <w:rPr>
          <w:lang w:val="ro-RO"/>
        </w:rPr>
      </w:pPr>
      <w:r>
        <w:rPr>
          <w:rStyle w:val="rezumat1"/>
          <w:rFonts w:ascii="Times New (W1)" w:hAnsi="Times New (W1)" w:cs="Times New (W1)"/>
          <w:lang w:val="it-IT"/>
        </w:rPr>
        <w:t xml:space="preserve">             În baza art.34 al.1 Legea 7/1996 republicata a cadastrului </w:t>
      </w:r>
      <w:proofErr w:type="spellStart"/>
      <w:r>
        <w:rPr>
          <w:rStyle w:val="rezumat1"/>
          <w:rFonts w:ascii="Times New (W1)" w:hAnsi="Times New (W1)" w:cs="Times New (W1)"/>
          <w:lang w:val="ro-RO"/>
        </w:rPr>
        <w:t>şi</w:t>
      </w:r>
      <w:proofErr w:type="spellEnd"/>
      <w:r>
        <w:rPr>
          <w:rStyle w:val="rezumat1"/>
          <w:rFonts w:ascii="Times New (W1)" w:hAnsi="Times New (W1)" w:cs="Times New (W1)"/>
          <w:lang w:val="ro-RO"/>
        </w:rPr>
        <w:t xml:space="preserve"> </w:t>
      </w:r>
      <w:proofErr w:type="spellStart"/>
      <w:r>
        <w:rPr>
          <w:rStyle w:val="rezumat1"/>
          <w:rFonts w:ascii="Times New (W1)" w:hAnsi="Times New (W1)" w:cs="Times New (W1)"/>
          <w:lang w:val="ro-RO"/>
        </w:rPr>
        <w:t>publicităţii</w:t>
      </w:r>
      <w:proofErr w:type="spellEnd"/>
      <w:r>
        <w:rPr>
          <w:rStyle w:val="rezumat1"/>
          <w:rFonts w:ascii="Times New (W1)" w:hAnsi="Times New (W1)" w:cs="Times New (W1)"/>
          <w:lang w:val="ro-RO"/>
        </w:rPr>
        <w:t xml:space="preserve"> imobiliare</w:t>
      </w:r>
      <w:r>
        <w:rPr>
          <w:rStyle w:val="rezumat1"/>
          <w:rFonts w:ascii="Times New (W1)" w:hAnsi="Times New (W1)" w:cs="Times New (W1)"/>
          <w:lang w:val="it-IT"/>
        </w:rPr>
        <w:t>.</w:t>
      </w:r>
    </w:p>
    <w:p w14:paraId="099DA2CC" w14:textId="47843C33" w:rsidR="00726959" w:rsidRDefault="00726959" w:rsidP="00726959">
      <w:pPr>
        <w:jc w:val="both"/>
        <w:rPr>
          <w:lang w:val="it-IT"/>
        </w:rPr>
      </w:pPr>
      <w:r>
        <w:rPr>
          <w:lang w:val="ro-RO"/>
        </w:rPr>
        <w:t xml:space="preserve">             </w:t>
      </w:r>
      <w:r>
        <w:rPr>
          <w:lang w:val="it-IT"/>
        </w:rPr>
        <w:t xml:space="preserve">În </w:t>
      </w:r>
      <w:r w:rsidR="001B50B5">
        <w:rPr>
          <w:lang w:val="it-IT"/>
        </w:rPr>
        <w:t>temeiul prevederilor art. 129 alin. (6) lit. C) și art. 139 alin. (1) din OUG nr. 57/2019-Codul administrativ</w:t>
      </w:r>
    </w:p>
    <w:p w14:paraId="41647164" w14:textId="0B65DBF4" w:rsidR="001B50B5" w:rsidRDefault="001B50B5" w:rsidP="00726959">
      <w:pPr>
        <w:jc w:val="both"/>
      </w:pPr>
      <w:r>
        <w:t xml:space="preserve">            </w:t>
      </w:r>
      <w:proofErr w:type="spellStart"/>
      <w:r>
        <w:t>În</w:t>
      </w:r>
      <w:proofErr w:type="spellEnd"/>
      <w:r>
        <w:t xml:space="preserve"> </w:t>
      </w:r>
      <w:r w:rsidRPr="00A477D3">
        <w:t xml:space="preserve"> </w:t>
      </w:r>
      <w:proofErr w:type="spellStart"/>
      <w:r w:rsidRPr="00A477D3">
        <w:t>temeiul</w:t>
      </w:r>
      <w:proofErr w:type="spellEnd"/>
      <w:r w:rsidRPr="00A477D3">
        <w:t xml:space="preserve"> art. 196 </w:t>
      </w:r>
      <w:proofErr w:type="spellStart"/>
      <w:r w:rsidRPr="00A477D3">
        <w:t>alin</w:t>
      </w:r>
      <w:proofErr w:type="spellEnd"/>
      <w:r w:rsidRPr="00A477D3">
        <w:t xml:space="preserve">.(1) lit. a)  din OUG nr.57/2019 – </w:t>
      </w:r>
      <w:proofErr w:type="spellStart"/>
      <w:r w:rsidRPr="00A477D3">
        <w:t>Codul</w:t>
      </w:r>
      <w:proofErr w:type="spellEnd"/>
      <w:r w:rsidRPr="00A477D3">
        <w:t xml:space="preserve"> </w:t>
      </w:r>
      <w:proofErr w:type="spellStart"/>
      <w:r w:rsidRPr="00A477D3">
        <w:t>administrativ</w:t>
      </w:r>
      <w:proofErr w:type="spellEnd"/>
    </w:p>
    <w:p w14:paraId="155833AF" w14:textId="77777777" w:rsidR="00726959" w:rsidRDefault="00726959" w:rsidP="00726959">
      <w:pPr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73C36E94" w14:textId="77777777" w:rsidR="00726959" w:rsidRDefault="00726959" w:rsidP="00726959">
      <w:pPr>
        <w:jc w:val="both"/>
        <w:rPr>
          <w:b/>
          <w:lang w:val="ro-RO"/>
        </w:rPr>
      </w:pPr>
    </w:p>
    <w:p w14:paraId="2B7611D6" w14:textId="621E1C72" w:rsidR="00726959" w:rsidRPr="00810701" w:rsidRDefault="00726959" w:rsidP="0029252E">
      <w:pPr>
        <w:jc w:val="both"/>
        <w:rPr>
          <w:bCs/>
          <w:lang w:val="ro-RO"/>
        </w:rPr>
      </w:pPr>
      <w:r>
        <w:rPr>
          <w:b/>
          <w:lang w:val="ro-RO"/>
        </w:rPr>
        <w:t xml:space="preserve">            </w:t>
      </w:r>
      <w:r>
        <w:rPr>
          <w:rStyle w:val="rezumat1"/>
          <w:b/>
          <w:lang w:val="ro-RO"/>
        </w:rPr>
        <w:t xml:space="preserve">   Art.1</w:t>
      </w:r>
      <w:r>
        <w:rPr>
          <w:rStyle w:val="rezumat1"/>
          <w:lang w:val="ro-RO"/>
        </w:rPr>
        <w:t xml:space="preserve">  Se aproba alocarea unui număr cadastral nou </w:t>
      </w:r>
      <w:proofErr w:type="spellStart"/>
      <w:r>
        <w:rPr>
          <w:rStyle w:val="rezumat1"/>
          <w:lang w:val="ro-RO"/>
        </w:rPr>
        <w:t>şi</w:t>
      </w:r>
      <w:proofErr w:type="spellEnd"/>
      <w:r>
        <w:rPr>
          <w:rStyle w:val="rezumat1"/>
          <w:lang w:val="ro-RO"/>
        </w:rPr>
        <w:t xml:space="preserve"> deschiderea unei </w:t>
      </w:r>
      <w:proofErr w:type="spellStart"/>
      <w:r>
        <w:rPr>
          <w:rStyle w:val="rezumat1"/>
          <w:lang w:val="ro-RO"/>
        </w:rPr>
        <w:t>cărţi</w:t>
      </w:r>
      <w:proofErr w:type="spellEnd"/>
      <w:r>
        <w:rPr>
          <w:rStyle w:val="rezumat1"/>
          <w:lang w:val="ro-RO"/>
        </w:rPr>
        <w:t xml:space="preserve"> funciare noi pentru parcela de teren situat în localitatea  Nădrag, str. Poieni, nr.1A, neînscris în cartea funciara, aflat în circuitul civil, care nu face obiectul niciunui litigiu </w:t>
      </w:r>
      <w:proofErr w:type="spellStart"/>
      <w:r>
        <w:rPr>
          <w:rStyle w:val="rezumat1"/>
          <w:lang w:val="ro-RO"/>
        </w:rPr>
        <w:t>şi</w:t>
      </w:r>
      <w:proofErr w:type="spellEnd"/>
      <w:r>
        <w:rPr>
          <w:rStyle w:val="rezumat1"/>
          <w:lang w:val="ro-RO"/>
        </w:rPr>
        <w:t xml:space="preserve"> nu a fost revendicat în </w:t>
      </w:r>
      <w:proofErr w:type="spellStart"/>
      <w:r>
        <w:rPr>
          <w:rStyle w:val="rezumat1"/>
          <w:lang w:val="ro-RO"/>
        </w:rPr>
        <w:t>condiţii</w:t>
      </w:r>
      <w:proofErr w:type="spellEnd"/>
      <w:r>
        <w:rPr>
          <w:rStyle w:val="rezumat1"/>
          <w:lang w:val="ro-RO"/>
        </w:rPr>
        <w:t xml:space="preserve"> legale,</w:t>
      </w:r>
      <w:r w:rsidRPr="005454E7">
        <w:rPr>
          <w:rStyle w:val="WW8Num1z0"/>
          <w:lang w:val="ro-RO"/>
        </w:rPr>
        <w:t xml:space="preserve"> </w:t>
      </w:r>
      <w:r>
        <w:rPr>
          <w:rStyle w:val="WW8Num1z0"/>
          <w:lang w:val="ro-RO"/>
        </w:rPr>
        <w:t xml:space="preserve">situat </w:t>
      </w:r>
      <w:proofErr w:type="spellStart"/>
      <w:r>
        <w:rPr>
          <w:bCs/>
          <w:lang w:val="ro-RO"/>
        </w:rPr>
        <w:t>langa</w:t>
      </w:r>
      <w:proofErr w:type="spellEnd"/>
      <w:r>
        <w:rPr>
          <w:bCs/>
          <w:lang w:val="ro-RO"/>
        </w:rPr>
        <w:t xml:space="preserve">  </w:t>
      </w:r>
      <w:proofErr w:type="spellStart"/>
      <w:r>
        <w:rPr>
          <w:bCs/>
          <w:lang w:val="ro-RO"/>
        </w:rPr>
        <w:t>nr.top</w:t>
      </w:r>
      <w:proofErr w:type="spellEnd"/>
      <w:r>
        <w:rPr>
          <w:bCs/>
          <w:lang w:val="ro-RO"/>
        </w:rPr>
        <w:t xml:space="preserve">. </w:t>
      </w:r>
      <w:r w:rsidRPr="00EE01B2">
        <w:rPr>
          <w:bCs/>
          <w:lang w:val="ro-RO"/>
        </w:rPr>
        <w:t xml:space="preserve">1/1/1/a/1/a/1/1/b/18/9/6/5/2/16/16/18 </w:t>
      </w:r>
      <w:proofErr w:type="spellStart"/>
      <w:r>
        <w:rPr>
          <w:bCs/>
          <w:lang w:val="ro-RO"/>
        </w:rPr>
        <w:t>inscris</w:t>
      </w:r>
      <w:proofErr w:type="spellEnd"/>
      <w:r>
        <w:rPr>
          <w:bCs/>
          <w:lang w:val="ro-RO"/>
        </w:rPr>
        <w:t xml:space="preserve"> in CF </w:t>
      </w:r>
      <w:r w:rsidRPr="00EE01B2">
        <w:rPr>
          <w:rFonts w:eastAsia="Times New Roman"/>
          <w:bCs/>
          <w:lang w:val="ro-RO"/>
        </w:rPr>
        <w:t>401883</w:t>
      </w:r>
      <w:r w:rsidRPr="00EE01B2">
        <w:rPr>
          <w:bCs/>
          <w:lang w:val="ro-RO"/>
        </w:rPr>
        <w:t xml:space="preserve"> </w:t>
      </w:r>
      <w:r>
        <w:rPr>
          <w:bCs/>
          <w:lang w:val="ro-RO"/>
        </w:rPr>
        <w:t xml:space="preserve"> Nadrag, </w:t>
      </w:r>
      <w:r>
        <w:rPr>
          <w:rStyle w:val="rezumat1"/>
          <w:lang w:val="ro-RO"/>
        </w:rPr>
        <w:t xml:space="preserve">având categoria de </w:t>
      </w:r>
      <w:proofErr w:type="spellStart"/>
      <w:r>
        <w:rPr>
          <w:rStyle w:val="rezumat1"/>
          <w:lang w:val="ro-RO"/>
        </w:rPr>
        <w:t>folosinţă</w:t>
      </w:r>
      <w:proofErr w:type="spellEnd"/>
      <w:r>
        <w:rPr>
          <w:rStyle w:val="rezumat1"/>
          <w:lang w:val="ro-RO"/>
        </w:rPr>
        <w:t xml:space="preserve"> </w:t>
      </w:r>
      <w:proofErr w:type="spellStart"/>
      <w:r w:rsidRPr="0029252E">
        <w:rPr>
          <w:rStyle w:val="rezumat1"/>
          <w:lang w:val="ro-RO"/>
        </w:rPr>
        <w:t>curţi</w:t>
      </w:r>
      <w:proofErr w:type="spellEnd"/>
      <w:r w:rsidRPr="0029252E">
        <w:rPr>
          <w:rStyle w:val="rezumat1"/>
          <w:lang w:val="ro-RO"/>
        </w:rPr>
        <w:t xml:space="preserve"> </w:t>
      </w:r>
      <w:proofErr w:type="spellStart"/>
      <w:r w:rsidRPr="0029252E">
        <w:rPr>
          <w:rStyle w:val="rezumat1"/>
          <w:lang w:val="ro-RO"/>
        </w:rPr>
        <w:t>construcţii</w:t>
      </w:r>
      <w:proofErr w:type="spellEnd"/>
      <w:r>
        <w:rPr>
          <w:rStyle w:val="rezumat1"/>
          <w:bCs/>
          <w:lang w:val="ro-RO"/>
        </w:rPr>
        <w:t>,</w:t>
      </w:r>
      <w:r>
        <w:rPr>
          <w:rStyle w:val="rezumat1"/>
          <w:lang w:val="ro-RO"/>
        </w:rPr>
        <w:t xml:space="preserve">  in </w:t>
      </w:r>
      <w:proofErr w:type="spellStart"/>
      <w:r>
        <w:rPr>
          <w:rStyle w:val="rezumat1"/>
          <w:lang w:val="ro-RO"/>
        </w:rPr>
        <w:t>suprafaţa</w:t>
      </w:r>
      <w:proofErr w:type="spellEnd"/>
      <w:r>
        <w:rPr>
          <w:rStyle w:val="rezumat1"/>
          <w:lang w:val="ro-RO"/>
        </w:rPr>
        <w:t xml:space="preserve"> de </w:t>
      </w:r>
      <w:r w:rsidRPr="0029252E">
        <w:rPr>
          <w:rStyle w:val="rezumat1"/>
          <w:bCs/>
          <w:lang w:val="ro-RO"/>
        </w:rPr>
        <w:t>524 mp,</w:t>
      </w:r>
      <w:r>
        <w:rPr>
          <w:rStyle w:val="rezumat1"/>
          <w:bCs/>
          <w:lang w:val="ro-RO"/>
        </w:rPr>
        <w:t xml:space="preserve"> conform </w:t>
      </w:r>
      <w:proofErr w:type="spellStart"/>
      <w:r>
        <w:rPr>
          <w:rStyle w:val="rezumat1"/>
          <w:bCs/>
          <w:lang w:val="ro-RO"/>
        </w:rPr>
        <w:t>documentatiei</w:t>
      </w:r>
      <w:proofErr w:type="spellEnd"/>
      <w:r>
        <w:rPr>
          <w:rStyle w:val="rezumat1"/>
          <w:bCs/>
          <w:lang w:val="ro-RO"/>
        </w:rPr>
        <w:t xml:space="preserve"> </w:t>
      </w:r>
      <w:proofErr w:type="spellStart"/>
      <w:r>
        <w:rPr>
          <w:rStyle w:val="rezumat1"/>
          <w:bCs/>
          <w:lang w:val="ro-RO"/>
        </w:rPr>
        <w:t>intocmite</w:t>
      </w:r>
      <w:proofErr w:type="spellEnd"/>
      <w:r>
        <w:rPr>
          <w:rStyle w:val="rezumat1"/>
          <w:bCs/>
          <w:lang w:val="ro-RO"/>
        </w:rPr>
        <w:t xml:space="preserve"> de </w:t>
      </w:r>
      <w:r w:rsidR="0029252E">
        <w:rPr>
          <w:rStyle w:val="rezumat1"/>
          <w:bCs/>
          <w:lang w:val="ro-RO"/>
        </w:rPr>
        <w:t xml:space="preserve">SC </w:t>
      </w:r>
      <w:proofErr w:type="spellStart"/>
      <w:r>
        <w:rPr>
          <w:rStyle w:val="rezumat1"/>
          <w:bCs/>
          <w:lang w:val="ro-RO"/>
        </w:rPr>
        <w:t>Topoexe</w:t>
      </w:r>
      <w:proofErr w:type="spellEnd"/>
      <w:r>
        <w:rPr>
          <w:rStyle w:val="rezumat1"/>
          <w:bCs/>
          <w:lang w:val="ro-RO"/>
        </w:rPr>
        <w:t xml:space="preserve"> SRL </w:t>
      </w:r>
      <w:r>
        <w:rPr>
          <w:rStyle w:val="rezumat1"/>
          <w:lang w:val="ro-RO"/>
        </w:rPr>
        <w:t>.</w:t>
      </w:r>
    </w:p>
    <w:p w14:paraId="6B971223" w14:textId="77777777" w:rsidR="00726959" w:rsidRDefault="00726959" w:rsidP="0029252E">
      <w:pPr>
        <w:jc w:val="both"/>
        <w:rPr>
          <w:rStyle w:val="rezumat1"/>
          <w:lang w:val="it-IT"/>
        </w:rPr>
      </w:pPr>
      <w:r>
        <w:rPr>
          <w:iCs/>
          <w:lang w:val="ro-RO"/>
        </w:rPr>
        <w:t xml:space="preserve">               </w:t>
      </w:r>
      <w:r>
        <w:rPr>
          <w:b/>
          <w:bCs/>
          <w:iCs/>
          <w:lang w:val="ro-RO"/>
        </w:rPr>
        <w:t>Art. 2</w:t>
      </w:r>
      <w:r>
        <w:rPr>
          <w:b/>
          <w:lang w:val="ro-RO"/>
        </w:rPr>
        <w:t xml:space="preserve">  </w:t>
      </w:r>
      <w:r>
        <w:rPr>
          <w:rStyle w:val="rezumat1"/>
          <w:lang w:val="ro-RO"/>
        </w:rPr>
        <w:t xml:space="preserve">Parcela </w:t>
      </w:r>
      <w:proofErr w:type="spellStart"/>
      <w:r>
        <w:rPr>
          <w:rStyle w:val="rezumat1"/>
          <w:lang w:val="ro-RO"/>
        </w:rPr>
        <w:t>menţionată</w:t>
      </w:r>
      <w:proofErr w:type="spellEnd"/>
      <w:r>
        <w:rPr>
          <w:rStyle w:val="rezumat1"/>
          <w:lang w:val="ro-RO"/>
        </w:rPr>
        <w:t xml:space="preserve"> la art.1 va fi </w:t>
      </w:r>
      <w:proofErr w:type="spellStart"/>
      <w:r>
        <w:rPr>
          <w:rStyle w:val="rezumat1"/>
          <w:lang w:val="ro-RO"/>
        </w:rPr>
        <w:t>întabulată</w:t>
      </w:r>
      <w:proofErr w:type="spellEnd"/>
      <w:r>
        <w:rPr>
          <w:rStyle w:val="rezumat1"/>
          <w:lang w:val="ro-RO"/>
        </w:rPr>
        <w:t xml:space="preserve"> în proprietatea Comunei Nădrag-domeniul privat , în </w:t>
      </w:r>
      <w:proofErr w:type="spellStart"/>
      <w:r>
        <w:rPr>
          <w:rStyle w:val="rezumat1"/>
          <w:lang w:val="ro-RO"/>
        </w:rPr>
        <w:t>admin</w:t>
      </w:r>
      <w:proofErr w:type="spellEnd"/>
      <w:r>
        <w:rPr>
          <w:rStyle w:val="rezumat1"/>
          <w:lang w:val="it-IT"/>
        </w:rPr>
        <w:t>istrarea Consiliului local al comunei Nădrag.</w:t>
      </w:r>
    </w:p>
    <w:p w14:paraId="11204845" w14:textId="38361AF4" w:rsidR="00726959" w:rsidRPr="0029252E" w:rsidRDefault="00726959" w:rsidP="00726959">
      <w:pPr>
        <w:jc w:val="both"/>
        <w:rPr>
          <w:sz w:val="22"/>
          <w:szCs w:val="22"/>
          <w:lang w:val="ro-RO"/>
        </w:rPr>
      </w:pPr>
      <w:r w:rsidRPr="0078650C">
        <w:rPr>
          <w:lang w:val="ro-RO"/>
        </w:rPr>
        <w:t xml:space="preserve">               </w:t>
      </w:r>
      <w:r w:rsidRPr="0078650C">
        <w:rPr>
          <w:b/>
          <w:lang w:val="ro-RO"/>
        </w:rPr>
        <w:t xml:space="preserve">Art. 3 </w:t>
      </w:r>
      <w:r w:rsidRPr="0078650C">
        <w:rPr>
          <w:lang w:val="ro-RO"/>
        </w:rPr>
        <w:t xml:space="preserve">Se aproba completarea inventarului bunurilor care </w:t>
      </w:r>
      <w:proofErr w:type="spellStart"/>
      <w:r w:rsidRPr="0078650C">
        <w:rPr>
          <w:lang w:val="ro-RO"/>
        </w:rPr>
        <w:t>apartin</w:t>
      </w:r>
      <w:proofErr w:type="spellEnd"/>
      <w:r w:rsidRPr="0078650C">
        <w:rPr>
          <w:lang w:val="ro-RO"/>
        </w:rPr>
        <w:t xml:space="preserve"> domeniului privat al  </w:t>
      </w:r>
      <w:proofErr w:type="spellStart"/>
      <w:r w:rsidRPr="0078650C">
        <w:rPr>
          <w:lang w:val="ro-RO"/>
        </w:rPr>
        <w:t>com.NADRAG</w:t>
      </w:r>
      <w:proofErr w:type="spellEnd"/>
      <w:r w:rsidRPr="0078650C">
        <w:rPr>
          <w:lang w:val="ro-RO"/>
        </w:rPr>
        <w:t xml:space="preserve"> conform </w:t>
      </w:r>
      <w:r w:rsidRPr="0078650C">
        <w:rPr>
          <w:rFonts w:cs="font1284"/>
          <w:sz w:val="22"/>
          <w:szCs w:val="22"/>
        </w:rPr>
        <w:t xml:space="preserve">ANEXA  INVENTARULUI BUNURILOR CARE APARTIN DOMENIULUI  PRIVAT al  </w:t>
      </w:r>
      <w:proofErr w:type="spellStart"/>
      <w:r w:rsidRPr="0078650C">
        <w:rPr>
          <w:rFonts w:cs="font1284"/>
          <w:sz w:val="22"/>
          <w:szCs w:val="22"/>
        </w:rPr>
        <w:t>Comunei</w:t>
      </w:r>
      <w:proofErr w:type="spellEnd"/>
      <w:r w:rsidRPr="0078650C">
        <w:rPr>
          <w:rFonts w:cs="font1284"/>
          <w:sz w:val="22"/>
          <w:szCs w:val="22"/>
        </w:rPr>
        <w:t xml:space="preserve"> </w:t>
      </w:r>
      <w:r w:rsidRPr="0078650C">
        <w:rPr>
          <w:sz w:val="22"/>
          <w:szCs w:val="22"/>
          <w:lang w:val="ro-RO"/>
        </w:rPr>
        <w:t>NADRAG</w:t>
      </w:r>
      <w:r w:rsidRPr="0078650C">
        <w:rPr>
          <w:rFonts w:cs="font1284"/>
          <w:sz w:val="22"/>
          <w:szCs w:val="22"/>
        </w:rPr>
        <w:t xml:space="preserve">, care face </w:t>
      </w:r>
      <w:proofErr w:type="spellStart"/>
      <w:r w:rsidRPr="0078650C">
        <w:rPr>
          <w:rFonts w:cs="font1284"/>
          <w:sz w:val="22"/>
          <w:szCs w:val="22"/>
        </w:rPr>
        <w:t>parte</w:t>
      </w:r>
      <w:proofErr w:type="spellEnd"/>
      <w:r w:rsidRPr="0078650C">
        <w:rPr>
          <w:rFonts w:cs="font1284"/>
          <w:sz w:val="22"/>
          <w:szCs w:val="22"/>
        </w:rPr>
        <w:t xml:space="preserve"> </w:t>
      </w:r>
      <w:proofErr w:type="spellStart"/>
      <w:r w:rsidRPr="0078650C">
        <w:rPr>
          <w:rFonts w:cs="font1284"/>
          <w:sz w:val="22"/>
          <w:szCs w:val="22"/>
        </w:rPr>
        <w:t>integranta</w:t>
      </w:r>
      <w:proofErr w:type="spellEnd"/>
      <w:r w:rsidRPr="0078650C">
        <w:rPr>
          <w:rFonts w:cs="font1284"/>
          <w:sz w:val="22"/>
          <w:szCs w:val="22"/>
        </w:rPr>
        <w:t xml:space="preserve"> din </w:t>
      </w:r>
      <w:proofErr w:type="spellStart"/>
      <w:r w:rsidRPr="0078650C">
        <w:rPr>
          <w:rFonts w:cs="font1284"/>
          <w:sz w:val="22"/>
          <w:szCs w:val="22"/>
        </w:rPr>
        <w:t>prezenta</w:t>
      </w:r>
      <w:proofErr w:type="spellEnd"/>
      <w:r w:rsidRPr="0078650C">
        <w:rPr>
          <w:rFonts w:cs="font1284"/>
          <w:sz w:val="22"/>
          <w:szCs w:val="22"/>
        </w:rPr>
        <w:t xml:space="preserve"> </w:t>
      </w:r>
      <w:proofErr w:type="spellStart"/>
      <w:r w:rsidRPr="0078650C">
        <w:rPr>
          <w:rFonts w:cs="font1284"/>
          <w:sz w:val="22"/>
          <w:szCs w:val="22"/>
        </w:rPr>
        <w:t>hotarare</w:t>
      </w:r>
      <w:proofErr w:type="spellEnd"/>
      <w:r w:rsidRPr="0078650C">
        <w:rPr>
          <w:rFonts w:cs="font1284"/>
          <w:sz w:val="22"/>
          <w:szCs w:val="22"/>
        </w:rPr>
        <w:t>.</w:t>
      </w:r>
    </w:p>
    <w:p w14:paraId="1E812D13" w14:textId="29A01101" w:rsidR="00726959" w:rsidRDefault="00726959" w:rsidP="00726959">
      <w:pPr>
        <w:jc w:val="both"/>
        <w:rPr>
          <w:lang w:val="ro-RO"/>
        </w:rPr>
      </w:pPr>
      <w:r>
        <w:rPr>
          <w:lang w:val="ro-RO"/>
        </w:rPr>
        <w:t xml:space="preserve">               </w:t>
      </w:r>
      <w:r>
        <w:rPr>
          <w:b/>
          <w:lang w:val="ro-RO"/>
        </w:rPr>
        <w:t xml:space="preserve">Art. </w:t>
      </w:r>
      <w:r w:rsidR="0029252E">
        <w:rPr>
          <w:b/>
          <w:lang w:val="ro-RO"/>
        </w:rPr>
        <w:t>4</w:t>
      </w:r>
      <w:r>
        <w:rPr>
          <w:b/>
          <w:lang w:val="ro-RO"/>
        </w:rPr>
        <w:t xml:space="preserve">   </w:t>
      </w:r>
      <w:r>
        <w:rPr>
          <w:lang w:val="ro-RO"/>
        </w:rPr>
        <w:t>Prezenta hotărâre a fost adoptată cu</w:t>
      </w:r>
      <w:r w:rsidR="009B0187">
        <w:rPr>
          <w:lang w:val="ro-RO"/>
        </w:rPr>
        <w:t xml:space="preserve"> 11</w:t>
      </w:r>
      <w:r>
        <w:rPr>
          <w:lang w:val="ro-RO"/>
        </w:rPr>
        <w:t xml:space="preserve"> voturi pentru</w:t>
      </w:r>
      <w:r w:rsidR="0029252E">
        <w:rPr>
          <w:lang w:val="ro-RO"/>
        </w:rPr>
        <w:t xml:space="preserve"> fiind prezenț</w:t>
      </w:r>
      <w:r w:rsidR="00F42864">
        <w:rPr>
          <w:lang w:val="ro-RO"/>
        </w:rPr>
        <w:t>i</w:t>
      </w:r>
      <w:r w:rsidR="009B0187">
        <w:rPr>
          <w:lang w:val="ro-RO"/>
        </w:rPr>
        <w:t xml:space="preserve"> </w:t>
      </w:r>
      <w:r w:rsidR="00F42864">
        <w:rPr>
          <w:lang w:val="ro-RO"/>
        </w:rPr>
        <w:t xml:space="preserve"> toți cei 11 membri ai Consiliului Local</w:t>
      </w:r>
      <w:r>
        <w:rPr>
          <w:lang w:val="ro-RO"/>
        </w:rPr>
        <w:t>.</w:t>
      </w:r>
    </w:p>
    <w:p w14:paraId="5CAAF99B" w14:textId="7C085547" w:rsidR="00726959" w:rsidRDefault="00726959" w:rsidP="00726959">
      <w:pPr>
        <w:jc w:val="both"/>
        <w:rPr>
          <w:lang w:val="ro-RO"/>
        </w:rPr>
      </w:pPr>
      <w:r>
        <w:rPr>
          <w:lang w:val="ro-RO"/>
        </w:rPr>
        <w:t xml:space="preserve">               </w:t>
      </w:r>
      <w:r>
        <w:rPr>
          <w:b/>
          <w:lang w:val="ro-RO"/>
        </w:rPr>
        <w:t xml:space="preserve">Art. </w:t>
      </w:r>
      <w:r w:rsidR="0080067F">
        <w:rPr>
          <w:b/>
          <w:lang w:val="ro-RO"/>
        </w:rPr>
        <w:t>5</w:t>
      </w:r>
      <w:r>
        <w:rPr>
          <w:b/>
          <w:lang w:val="ro-RO"/>
        </w:rPr>
        <w:t xml:space="preserve">   </w:t>
      </w:r>
      <w:r>
        <w:rPr>
          <w:lang w:val="ro-RO"/>
        </w:rPr>
        <w:t>Prezenta hotărâre se comunică :</w:t>
      </w:r>
    </w:p>
    <w:p w14:paraId="2636A8FE" w14:textId="77777777" w:rsidR="00726959" w:rsidRDefault="00726959" w:rsidP="00726959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</w:t>
      </w:r>
      <w:proofErr w:type="spellStart"/>
      <w:r>
        <w:rPr>
          <w:lang w:val="ro-RO"/>
        </w:rPr>
        <w:t>judeţ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.</w:t>
      </w:r>
    </w:p>
    <w:p w14:paraId="19FDF184" w14:textId="77777777" w:rsidR="00726959" w:rsidRDefault="00726959" w:rsidP="00726959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3E27153E" w14:textId="77777777" w:rsidR="00726959" w:rsidRDefault="00726959" w:rsidP="00726959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Inspector urbanism.</w:t>
      </w:r>
    </w:p>
    <w:p w14:paraId="0CCE1C8C" w14:textId="4210859F" w:rsidR="00726959" w:rsidRPr="005177E1" w:rsidRDefault="00726959" w:rsidP="00726959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74D78D11" w14:textId="77777777" w:rsidR="005177E1" w:rsidRPr="005177E1" w:rsidRDefault="005177E1" w:rsidP="005177E1">
      <w:pPr>
        <w:suppressAutoHyphens w:val="0"/>
        <w:spacing w:line="240" w:lineRule="auto"/>
        <w:jc w:val="both"/>
        <w:rPr>
          <w:rFonts w:eastAsia="Times New Roman"/>
          <w:lang w:val="ro-RO" w:eastAsia="en-US"/>
        </w:rPr>
      </w:pPr>
      <w:r w:rsidRPr="005177E1">
        <w:rPr>
          <w:rFonts w:eastAsia="Times New Roman"/>
          <w:lang w:val="ro-RO" w:eastAsia="en-US"/>
        </w:rPr>
        <w:t xml:space="preserve">                                                                                                   </w:t>
      </w:r>
      <w:proofErr w:type="spellStart"/>
      <w:r w:rsidRPr="005177E1">
        <w:rPr>
          <w:rFonts w:eastAsia="Times New Roman"/>
          <w:lang w:val="ro-RO" w:eastAsia="en-US"/>
        </w:rPr>
        <w:t>Preşedinte</w:t>
      </w:r>
      <w:proofErr w:type="spellEnd"/>
      <w:r w:rsidRPr="005177E1">
        <w:rPr>
          <w:rFonts w:eastAsia="Times New Roman"/>
          <w:lang w:val="ro-RO" w:eastAsia="en-US"/>
        </w:rPr>
        <w:t xml:space="preserve"> de şedinţă</w:t>
      </w:r>
    </w:p>
    <w:p w14:paraId="503F1ED0" w14:textId="60232AFB" w:rsidR="005177E1" w:rsidRPr="005177E1" w:rsidRDefault="005177E1" w:rsidP="005177E1">
      <w:pPr>
        <w:suppressAutoHyphens w:val="0"/>
        <w:spacing w:line="240" w:lineRule="auto"/>
        <w:jc w:val="both"/>
        <w:rPr>
          <w:rFonts w:eastAsia="Times New Roman"/>
          <w:lang w:val="ro-RO" w:eastAsia="en-US"/>
        </w:rPr>
      </w:pPr>
      <w:r w:rsidRPr="005177E1">
        <w:rPr>
          <w:rFonts w:eastAsia="Times New Roman"/>
          <w:lang w:val="ro-RO" w:eastAsia="en-US"/>
        </w:rPr>
        <w:t xml:space="preserve">                                                                                                 </w:t>
      </w:r>
      <w:r w:rsidRPr="005177E1">
        <w:rPr>
          <w:kern w:val="2"/>
          <w:lang w:val="fr-FR" w:eastAsia="zh-CN"/>
          <w14:ligatures w14:val="standardContextual"/>
        </w:rPr>
        <w:t>Schöner Emil-Alexandr</w:t>
      </w:r>
      <w:r>
        <w:rPr>
          <w:kern w:val="2"/>
          <w:lang w:val="fr-FR" w:eastAsia="zh-CN"/>
          <w14:ligatures w14:val="standardContextual"/>
        </w:rPr>
        <w:t>u</w:t>
      </w:r>
      <w:r w:rsidRPr="005177E1">
        <w:rPr>
          <w:rFonts w:eastAsia="Times New Roman"/>
          <w:lang w:val="ro-RO" w:eastAsia="en-US"/>
        </w:rPr>
        <w:t xml:space="preserve">                                                                                 </w:t>
      </w:r>
    </w:p>
    <w:p w14:paraId="208DE8A2" w14:textId="77777777" w:rsidR="005177E1" w:rsidRPr="005177E1" w:rsidRDefault="005177E1" w:rsidP="005177E1">
      <w:pPr>
        <w:suppressAutoHyphens w:val="0"/>
        <w:spacing w:line="240" w:lineRule="auto"/>
        <w:jc w:val="both"/>
        <w:rPr>
          <w:lang w:val="ro-RO" w:eastAsia="zh-CN"/>
        </w:rPr>
      </w:pPr>
      <w:r w:rsidRPr="005177E1">
        <w:rPr>
          <w:lang w:val="ro-RO" w:eastAsia="zh-CN"/>
        </w:rPr>
        <w:t>Contrasemnează secretar general : Wagner Dan Antoniu</w:t>
      </w:r>
    </w:p>
    <w:p w14:paraId="5A29E86C" w14:textId="77777777" w:rsidR="00726959" w:rsidRDefault="00726959" w:rsidP="00726959">
      <w:pPr>
        <w:jc w:val="both"/>
        <w:rPr>
          <w:lang w:val="ro-RO"/>
        </w:rPr>
      </w:pPr>
    </w:p>
    <w:p w14:paraId="553A57D5" w14:textId="77777777" w:rsidR="00726959" w:rsidRPr="0084634B" w:rsidRDefault="00726959" w:rsidP="00726959">
      <w:pPr>
        <w:rPr>
          <w:lang w:val="ro-RO"/>
        </w:rPr>
      </w:pPr>
    </w:p>
    <w:p w14:paraId="3A485DD2" w14:textId="77777777" w:rsidR="00726959" w:rsidRPr="0084634B" w:rsidRDefault="00726959" w:rsidP="00726959">
      <w:pPr>
        <w:rPr>
          <w:lang w:val="ro-RO"/>
        </w:rPr>
      </w:pPr>
    </w:p>
    <w:p w14:paraId="20AC3458" w14:textId="7A9DDE25" w:rsidR="00726959" w:rsidRPr="000F0E9A" w:rsidRDefault="00726959" w:rsidP="00746706">
      <w:pPr>
        <w:rPr>
          <w:lang w:val="ro-RO"/>
        </w:rPr>
      </w:pPr>
      <w:r w:rsidRPr="0084634B">
        <w:rPr>
          <w:lang w:val="ro-RO"/>
        </w:rPr>
        <w:t xml:space="preserve">                                                                  </w:t>
      </w:r>
      <w:r w:rsidRPr="0084634B">
        <w:rPr>
          <w:lang w:val="ro-RO"/>
        </w:rPr>
        <w:tab/>
        <w:t xml:space="preserve"> Anexa</w:t>
      </w:r>
      <w:r w:rsidR="00746706">
        <w:rPr>
          <w:lang w:val="ro-RO"/>
        </w:rPr>
        <w:t xml:space="preserve"> </w:t>
      </w:r>
      <w:r w:rsidRPr="000F0E9A">
        <w:rPr>
          <w:lang w:val="ro-RO"/>
        </w:rPr>
        <w:t>la HCL Nădrag nr.</w:t>
      </w:r>
      <w:r w:rsidR="000F0E9A">
        <w:rPr>
          <w:lang w:val="ro-RO"/>
        </w:rPr>
        <w:t>87</w:t>
      </w:r>
      <w:r w:rsidRPr="000F0E9A">
        <w:rPr>
          <w:lang w:val="ro-RO"/>
        </w:rPr>
        <w:t xml:space="preserve"> /</w:t>
      </w:r>
      <w:r w:rsidR="000F0E9A">
        <w:rPr>
          <w:lang w:val="ro-RO"/>
        </w:rPr>
        <w:t>27.11.2025</w:t>
      </w:r>
    </w:p>
    <w:p w14:paraId="0960D636" w14:textId="77777777" w:rsidR="00726959" w:rsidRPr="000F0E9A" w:rsidRDefault="00726959" w:rsidP="00726959">
      <w:pPr>
        <w:pStyle w:val="Corptext"/>
        <w:rPr>
          <w:lang w:val="ro-RO"/>
        </w:rPr>
      </w:pPr>
    </w:p>
    <w:p w14:paraId="6306789B" w14:textId="77777777" w:rsidR="00726959" w:rsidRPr="0084634B" w:rsidRDefault="00726959" w:rsidP="00726959">
      <w:pPr>
        <w:pStyle w:val="Corptext"/>
        <w:rPr>
          <w:b/>
          <w:sz w:val="18"/>
          <w:lang w:val="ro-RO"/>
        </w:rPr>
      </w:pPr>
      <w:r w:rsidRPr="0084634B">
        <w:rPr>
          <w:b/>
          <w:sz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4DCBD9" w14:textId="77777777" w:rsidR="00726959" w:rsidRPr="0084634B" w:rsidRDefault="00726959" w:rsidP="000F0E9A">
      <w:pPr>
        <w:pStyle w:val="Corptext"/>
        <w:jc w:val="center"/>
        <w:rPr>
          <w:b/>
          <w:lang w:val="ro-RO"/>
        </w:rPr>
      </w:pPr>
      <w:r w:rsidRPr="0084634B">
        <w:rPr>
          <w:b/>
          <w:lang w:val="ro-RO"/>
        </w:rPr>
        <w:t>LISTA completare inventor</w:t>
      </w:r>
    </w:p>
    <w:p w14:paraId="3DB2E36A" w14:textId="77777777" w:rsidR="000F0E9A" w:rsidRDefault="00726959" w:rsidP="000F0E9A">
      <w:pPr>
        <w:pStyle w:val="Corptext"/>
        <w:jc w:val="center"/>
        <w:rPr>
          <w:b/>
        </w:rPr>
      </w:pPr>
      <w:proofErr w:type="spellStart"/>
      <w:r>
        <w:rPr>
          <w:b/>
        </w:rPr>
        <w:t>Imobil</w:t>
      </w:r>
      <w:r w:rsidR="000F0E9A">
        <w:rPr>
          <w:b/>
        </w:rPr>
        <w:t>e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aparțin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</w:p>
    <w:p w14:paraId="299BBC76" w14:textId="7CAB3650" w:rsidR="00726959" w:rsidRDefault="000F0E9A" w:rsidP="000F0E9A">
      <w:pPr>
        <w:pStyle w:val="Corptext"/>
        <w:jc w:val="center"/>
        <w:rPr>
          <w:b/>
        </w:rPr>
      </w:pPr>
      <w:r>
        <w:rPr>
          <w:b/>
        </w:rPr>
        <w:t xml:space="preserve">UAT </w:t>
      </w:r>
      <w:proofErr w:type="spellStart"/>
      <w:r w:rsidR="00726959">
        <w:rPr>
          <w:b/>
        </w:rPr>
        <w:t>Comuna</w:t>
      </w:r>
      <w:proofErr w:type="spellEnd"/>
      <w:r w:rsidR="00726959">
        <w:rPr>
          <w:b/>
        </w:rPr>
        <w:t xml:space="preserve"> </w:t>
      </w:r>
      <w:proofErr w:type="spellStart"/>
      <w:r w:rsidR="00726959">
        <w:rPr>
          <w:b/>
        </w:rPr>
        <w:t>Nădrag</w:t>
      </w:r>
      <w:proofErr w:type="spellEnd"/>
    </w:p>
    <w:p w14:paraId="3E06DA60" w14:textId="77777777" w:rsidR="000F0E9A" w:rsidRDefault="000F0E9A" w:rsidP="000F0E9A">
      <w:pPr>
        <w:pStyle w:val="Corptext"/>
        <w:jc w:val="center"/>
        <w:rPr>
          <w:b/>
        </w:rPr>
      </w:pPr>
    </w:p>
    <w:tbl>
      <w:tblPr>
        <w:tblW w:w="10982" w:type="dxa"/>
        <w:tblInd w:w="-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630"/>
        <w:gridCol w:w="1080"/>
        <w:gridCol w:w="3895"/>
        <w:gridCol w:w="900"/>
        <w:gridCol w:w="1080"/>
        <w:gridCol w:w="1890"/>
        <w:gridCol w:w="992"/>
      </w:tblGrid>
      <w:tr w:rsidR="00726959" w14:paraId="66EC5043" w14:textId="77777777" w:rsidTr="007D69FF">
        <w:trPr>
          <w:trHeight w:val="9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9CE1D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Nr.</w:t>
            </w:r>
          </w:p>
          <w:p w14:paraId="658500CE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proofErr w:type="spellStart"/>
            <w:r w:rsidRPr="00FB1D20">
              <w:rPr>
                <w:b/>
                <w:kern w:val="2"/>
                <w:sz w:val="16"/>
                <w:szCs w:val="16"/>
              </w:rPr>
              <w:t>crt</w:t>
            </w:r>
            <w:proofErr w:type="spellEnd"/>
            <w:r w:rsidRPr="00FB1D20">
              <w:rPr>
                <w:b/>
                <w:kern w:val="2"/>
                <w:sz w:val="16"/>
                <w:szCs w:val="16"/>
              </w:rPr>
              <w:t>.</w:t>
            </w:r>
          </w:p>
          <w:p w14:paraId="3A7CC99C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proofErr w:type="spellStart"/>
            <w:r w:rsidRPr="00FB1D20">
              <w:rPr>
                <w:b/>
                <w:kern w:val="2"/>
                <w:sz w:val="16"/>
                <w:szCs w:val="16"/>
              </w:rPr>
              <w:t>poz</w:t>
            </w:r>
            <w:proofErr w:type="spellEnd"/>
            <w:r w:rsidRPr="00FB1D20">
              <w:rPr>
                <w:b/>
                <w:kern w:val="2"/>
                <w:sz w:val="16"/>
                <w:szCs w:val="16"/>
              </w:rPr>
              <w:t>.</w:t>
            </w:r>
          </w:p>
          <w:p w14:paraId="604F394A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5C0FF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COD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9CCCE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DENUMIREA BUNULUI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2D055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ELEMENTE DE IDENTIFICARE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F0A04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ANUL DOBÂND.</w:t>
            </w:r>
          </w:p>
          <w:p w14:paraId="2E40440C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SAU DĂRII</w:t>
            </w:r>
          </w:p>
          <w:p w14:paraId="727F5F4A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ÎN FOLOS.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79F68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VALOARE</w:t>
            </w:r>
          </w:p>
          <w:p w14:paraId="572B26A1" w14:textId="77777777" w:rsidR="00726959" w:rsidRPr="00FB1D20" w:rsidRDefault="00726959" w:rsidP="007D69FF">
            <w:pPr>
              <w:pStyle w:val="Corptext"/>
              <w:jc w:val="center"/>
              <w:rPr>
                <w:b/>
                <w:kern w:val="2"/>
                <w:sz w:val="16"/>
                <w:szCs w:val="16"/>
              </w:rPr>
            </w:pPr>
            <w:proofErr w:type="spellStart"/>
            <w:r w:rsidRPr="00FB1D20">
              <w:rPr>
                <w:b/>
                <w:kern w:val="2"/>
                <w:sz w:val="16"/>
                <w:szCs w:val="16"/>
              </w:rPr>
              <w:t>Mii</w:t>
            </w:r>
            <w:proofErr w:type="spellEnd"/>
            <w:r w:rsidRPr="00FB1D20">
              <w:rPr>
                <w:b/>
                <w:kern w:val="2"/>
                <w:sz w:val="16"/>
                <w:szCs w:val="16"/>
              </w:rPr>
              <w:t xml:space="preserve"> lei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5E421" w14:textId="77777777" w:rsidR="00726959" w:rsidRPr="00FB1D20" w:rsidRDefault="00726959" w:rsidP="007D69FF">
            <w:pPr>
              <w:pStyle w:val="Corptext"/>
              <w:jc w:val="center"/>
              <w:rPr>
                <w:kern w:val="2"/>
              </w:rPr>
            </w:pPr>
            <w:r w:rsidRPr="00FB1D20">
              <w:rPr>
                <w:b/>
                <w:kern w:val="2"/>
                <w:sz w:val="16"/>
                <w:szCs w:val="16"/>
              </w:rPr>
              <w:t>SITUAŢIE JURIDICĂ ACTUALĂ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D8036" w14:textId="77777777" w:rsidR="00726959" w:rsidRDefault="00726959" w:rsidP="007D69FF">
            <w:pPr>
              <w:snapToGrid w:val="0"/>
            </w:pPr>
          </w:p>
        </w:tc>
      </w:tr>
      <w:tr w:rsidR="00726959" w:rsidRPr="009B0187" w14:paraId="78FDB396" w14:textId="77777777" w:rsidTr="007D69FF">
        <w:trPr>
          <w:gridAfter w:val="1"/>
          <w:wAfter w:w="992" w:type="dxa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2D00078" w14:textId="77777777" w:rsidR="00726959" w:rsidRPr="0031655C" w:rsidRDefault="00726959" w:rsidP="007D69FF">
            <w:pPr>
              <w:pStyle w:val="Corptext"/>
              <w:jc w:val="center"/>
              <w:rPr>
                <w:kern w:val="2"/>
                <w:sz w:val="20"/>
                <w:szCs w:val="20"/>
              </w:rPr>
            </w:pPr>
            <w:r w:rsidRPr="0031655C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0AEC52C" w14:textId="77777777" w:rsidR="00726959" w:rsidRPr="0031655C" w:rsidRDefault="00726959" w:rsidP="007D69FF">
            <w:pPr>
              <w:pStyle w:val="Corptext"/>
              <w:snapToGrid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BCF110F" w14:textId="77777777" w:rsidR="00726959" w:rsidRPr="0031655C" w:rsidRDefault="00726959" w:rsidP="007D69FF">
            <w:pPr>
              <w:pStyle w:val="Corptext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31655C">
              <w:rPr>
                <w:kern w:val="2"/>
                <w:sz w:val="20"/>
                <w:szCs w:val="20"/>
                <w:lang w:val="ro-RO"/>
              </w:rPr>
              <w:t xml:space="preserve">Teren cu </w:t>
            </w:r>
            <w:proofErr w:type="spellStart"/>
            <w:r w:rsidRPr="0031655C">
              <w:rPr>
                <w:kern w:val="2"/>
                <w:sz w:val="20"/>
                <w:szCs w:val="20"/>
                <w:lang w:val="ro-RO"/>
              </w:rPr>
              <w:t>constructii</w:t>
            </w:r>
            <w:proofErr w:type="spellEnd"/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1CE51C1" w14:textId="77777777" w:rsidR="00726959" w:rsidRPr="00EE01B2" w:rsidRDefault="00726959" w:rsidP="007D69FF">
            <w:pPr>
              <w:pStyle w:val="Corptext"/>
              <w:spacing w:after="0"/>
              <w:rPr>
                <w:kern w:val="2"/>
                <w:sz w:val="20"/>
                <w:szCs w:val="20"/>
                <w:lang w:val="nl-NL"/>
              </w:rPr>
            </w:pPr>
            <w:r w:rsidRPr="00EE01B2">
              <w:rPr>
                <w:kern w:val="2"/>
                <w:sz w:val="20"/>
                <w:szCs w:val="20"/>
                <w:lang w:val="nl-NL"/>
              </w:rPr>
              <w:t>Comuna NADRAG ,</w:t>
            </w:r>
          </w:p>
          <w:p w14:paraId="532322C4" w14:textId="77777777" w:rsidR="00726959" w:rsidRPr="00EE01B2" w:rsidRDefault="00726959" w:rsidP="007D69FF">
            <w:pPr>
              <w:pStyle w:val="Corptext"/>
              <w:spacing w:after="0"/>
              <w:rPr>
                <w:kern w:val="2"/>
                <w:sz w:val="20"/>
                <w:szCs w:val="20"/>
                <w:lang w:val="nl-NL"/>
              </w:rPr>
            </w:pPr>
            <w:r w:rsidRPr="00EE01B2">
              <w:rPr>
                <w:kern w:val="2"/>
                <w:sz w:val="20"/>
                <w:szCs w:val="20"/>
                <w:lang w:val="nl-NL"/>
              </w:rPr>
              <w:t>Str.  Poieni  nr.1A.</w:t>
            </w:r>
          </w:p>
          <w:p w14:paraId="05F9A840" w14:textId="77777777" w:rsidR="00726959" w:rsidRPr="00EE01B2" w:rsidRDefault="00726959" w:rsidP="007D69FF">
            <w:pPr>
              <w:pStyle w:val="Corptext"/>
              <w:spacing w:after="0"/>
              <w:rPr>
                <w:rStyle w:val="rezumat1"/>
                <w:kern w:val="2"/>
                <w:sz w:val="20"/>
                <w:szCs w:val="20"/>
                <w:lang w:val="nl-NL"/>
              </w:rPr>
            </w:pPr>
            <w:r w:rsidRPr="00EE01B2">
              <w:rPr>
                <w:color w:val="000000"/>
                <w:sz w:val="20"/>
                <w:szCs w:val="20"/>
                <w:lang w:val="nl-NL"/>
              </w:rPr>
              <w:t xml:space="preserve">Suprafața masurata de </w:t>
            </w:r>
            <w:r w:rsidRPr="00EE01B2">
              <w:rPr>
                <w:b/>
                <w:bCs/>
                <w:color w:val="000000"/>
                <w:sz w:val="20"/>
                <w:szCs w:val="20"/>
                <w:lang w:val="nl-NL"/>
              </w:rPr>
              <w:t>524 mp</w:t>
            </w:r>
          </w:p>
          <w:p w14:paraId="55B85A11" w14:textId="77777777" w:rsidR="00726959" w:rsidRDefault="00726959" w:rsidP="007D69FF">
            <w:pPr>
              <w:pStyle w:val="Corptext"/>
              <w:spacing w:after="0"/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</w:pPr>
            <w:r w:rsidRPr="0031655C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 xml:space="preserve">Categoria de </w:t>
            </w:r>
            <w:proofErr w:type="spellStart"/>
            <w:r w:rsidRPr="0031655C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>folosinta</w:t>
            </w:r>
            <w:proofErr w:type="spellEnd"/>
            <w:r w:rsidRPr="0031655C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>:</w:t>
            </w:r>
          </w:p>
          <w:p w14:paraId="1C642E92" w14:textId="77777777" w:rsidR="00726959" w:rsidRPr="0031655C" w:rsidRDefault="00726959" w:rsidP="007D69FF">
            <w:pPr>
              <w:pStyle w:val="Corptext"/>
              <w:spacing w:after="0"/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</w:pPr>
            <w:proofErr w:type="spellStart"/>
            <w:r w:rsidRPr="0031655C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>curti</w:t>
            </w:r>
            <w:proofErr w:type="spellEnd"/>
            <w:r w:rsidRPr="0031655C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1655C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>constructii</w:t>
            </w:r>
            <w:proofErr w:type="spellEnd"/>
            <w:r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 xml:space="preserve"> in intravilan-</w:t>
            </w:r>
          </w:p>
          <w:p w14:paraId="4A5B5C33" w14:textId="77777777" w:rsidR="00726959" w:rsidRDefault="00726959" w:rsidP="007D69FF">
            <w:pPr>
              <w:pStyle w:val="Corptext"/>
              <w:spacing w:after="0"/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</w:pPr>
            <w:r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 xml:space="preserve">Amplasat </w:t>
            </w:r>
            <w:proofErr w:type="spellStart"/>
            <w:r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>langa</w:t>
            </w:r>
            <w:proofErr w:type="spellEnd"/>
            <w:r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1655C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>nr.top</w:t>
            </w:r>
            <w:proofErr w:type="spellEnd"/>
            <w:r w:rsidRPr="0031655C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>. 1/1/1/a/1/a/1/1/b/18/9/6/5/2/16/16/18 Nadrag</w:t>
            </w:r>
          </w:p>
          <w:p w14:paraId="2DECDD1B" w14:textId="77777777" w:rsidR="00726959" w:rsidRPr="0031655C" w:rsidRDefault="00726959" w:rsidP="007D69FF">
            <w:pPr>
              <w:pStyle w:val="Corptext"/>
              <w:spacing w:after="0"/>
              <w:rPr>
                <w:rFonts w:eastAsia="Arial"/>
                <w:kern w:val="2"/>
                <w:sz w:val="20"/>
                <w:szCs w:val="20"/>
                <w:lang w:val="ro-RO"/>
              </w:rPr>
            </w:pPr>
            <w:proofErr w:type="spellStart"/>
            <w:r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>inscris</w:t>
            </w:r>
            <w:proofErr w:type="spellEnd"/>
            <w:r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 xml:space="preserve"> in </w:t>
            </w:r>
            <w:r w:rsidRPr="007E4FD1">
              <w:rPr>
                <w:rStyle w:val="rezumat1"/>
                <w:rFonts w:eastAsia="Arial"/>
                <w:kern w:val="2"/>
                <w:sz w:val="20"/>
                <w:szCs w:val="20"/>
              </w:rPr>
              <w:t xml:space="preserve">CF </w:t>
            </w:r>
            <w:r w:rsidRPr="007E4FD1">
              <w:rPr>
                <w:rStyle w:val="rezumat1"/>
                <w:rFonts w:eastAsia="Arial"/>
                <w:kern w:val="2"/>
                <w:sz w:val="20"/>
                <w:szCs w:val="20"/>
                <w:lang w:val="ro-RO"/>
              </w:rPr>
              <w:t xml:space="preserve">401883 </w:t>
            </w:r>
            <w:r w:rsidRPr="007E4FD1">
              <w:rPr>
                <w:rStyle w:val="rezumat1"/>
                <w:rFonts w:eastAsia="Arial"/>
                <w:kern w:val="2"/>
                <w:sz w:val="20"/>
                <w:szCs w:val="20"/>
              </w:rPr>
              <w:t xml:space="preserve"> Nadrag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2EB20B5" w14:textId="77777777" w:rsidR="00726959" w:rsidRPr="0031655C" w:rsidRDefault="00726959" w:rsidP="007D69FF">
            <w:pPr>
              <w:pStyle w:val="Corptext"/>
              <w:jc w:val="center"/>
              <w:rPr>
                <w:b/>
                <w:kern w:val="2"/>
                <w:sz w:val="20"/>
                <w:szCs w:val="20"/>
                <w:lang w:val="ro-RO"/>
              </w:rPr>
            </w:pPr>
            <w:r w:rsidRPr="0031655C">
              <w:rPr>
                <w:kern w:val="2"/>
                <w:sz w:val="20"/>
                <w:szCs w:val="20"/>
                <w:lang w:val="ro-RO"/>
              </w:rPr>
              <w:t>202</w:t>
            </w:r>
            <w:r w:rsidRPr="0031655C">
              <w:rPr>
                <w:bCs/>
                <w:kern w:val="2"/>
                <w:sz w:val="20"/>
                <w:szCs w:val="20"/>
                <w:lang w:val="ro-RO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152C008" w14:textId="77777777" w:rsidR="00726959" w:rsidRPr="0031655C" w:rsidRDefault="00726959" w:rsidP="007D69FF">
            <w:pPr>
              <w:pStyle w:val="Corptext"/>
              <w:jc w:val="center"/>
              <w:rPr>
                <w:bCs/>
                <w:kern w:val="2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E9DCB8C" w14:textId="77777777" w:rsidR="00726959" w:rsidRPr="0031655C" w:rsidRDefault="00726959" w:rsidP="007D69FF">
            <w:pPr>
              <w:pStyle w:val="Corptext"/>
              <w:jc w:val="center"/>
              <w:rPr>
                <w:kern w:val="2"/>
                <w:sz w:val="20"/>
                <w:szCs w:val="20"/>
                <w:lang w:val="ro-RO"/>
              </w:rPr>
            </w:pPr>
            <w:r w:rsidRPr="0031655C">
              <w:rPr>
                <w:kern w:val="2"/>
                <w:sz w:val="20"/>
                <w:szCs w:val="20"/>
                <w:lang w:val="ro-RO"/>
              </w:rPr>
              <w:t>COM. NADRAG domeniul privat</w:t>
            </w:r>
          </w:p>
          <w:p w14:paraId="26968F21" w14:textId="6CB35922" w:rsidR="00726959" w:rsidRPr="0080067F" w:rsidRDefault="00726959" w:rsidP="007D69FF">
            <w:pPr>
              <w:pStyle w:val="Corptext"/>
              <w:jc w:val="center"/>
              <w:rPr>
                <w:kern w:val="2"/>
                <w:sz w:val="20"/>
                <w:szCs w:val="20"/>
                <w:lang w:val="nl-NL"/>
              </w:rPr>
            </w:pPr>
            <w:r w:rsidRPr="000F0E9A">
              <w:rPr>
                <w:kern w:val="2"/>
                <w:sz w:val="20"/>
                <w:szCs w:val="20"/>
                <w:lang w:val="nl-NL"/>
              </w:rPr>
              <w:t xml:space="preserve">HCL nr. </w:t>
            </w:r>
            <w:r w:rsidR="000F0E9A">
              <w:rPr>
                <w:sz w:val="20"/>
                <w:szCs w:val="20"/>
                <w:lang w:val="nl-NL"/>
              </w:rPr>
              <w:t>87/</w:t>
            </w:r>
            <w:r w:rsidRPr="000F0E9A">
              <w:rPr>
                <w:sz w:val="20"/>
                <w:szCs w:val="20"/>
                <w:lang w:val="nl-NL"/>
              </w:rPr>
              <w:t xml:space="preserve">  </w:t>
            </w:r>
            <w:r w:rsidR="000F0E9A">
              <w:rPr>
                <w:sz w:val="20"/>
                <w:szCs w:val="20"/>
                <w:lang w:val="nl-NL"/>
              </w:rPr>
              <w:t>27.11.2025</w:t>
            </w:r>
          </w:p>
        </w:tc>
      </w:tr>
    </w:tbl>
    <w:p w14:paraId="37DF7016" w14:textId="77777777" w:rsidR="00726959" w:rsidRPr="0080067F" w:rsidRDefault="00726959" w:rsidP="00726959">
      <w:pPr>
        <w:jc w:val="center"/>
        <w:rPr>
          <w:lang w:val="nl-NL"/>
        </w:rPr>
      </w:pPr>
    </w:p>
    <w:p w14:paraId="11DBD9BB" w14:textId="77777777" w:rsidR="00726959" w:rsidRPr="0080067F" w:rsidRDefault="00726959" w:rsidP="00726959">
      <w:pPr>
        <w:rPr>
          <w:lang w:val="nl-NL"/>
        </w:rPr>
      </w:pPr>
    </w:p>
    <w:p w14:paraId="3A3C9754" w14:textId="77777777" w:rsidR="00726959" w:rsidRPr="0080067F" w:rsidRDefault="00726959" w:rsidP="00726959">
      <w:pPr>
        <w:rPr>
          <w:lang w:val="nl-NL"/>
        </w:rPr>
      </w:pPr>
    </w:p>
    <w:p w14:paraId="49EC3E75" w14:textId="77777777" w:rsidR="00FD0999" w:rsidRPr="0080067F" w:rsidRDefault="00FD0999">
      <w:pPr>
        <w:rPr>
          <w:lang w:val="nl-NL"/>
        </w:rPr>
      </w:pPr>
    </w:p>
    <w:sectPr w:rsidR="00FD0999" w:rsidRPr="0080067F" w:rsidSect="00726959">
      <w:pgSz w:w="12240" w:h="15840"/>
      <w:pgMar w:top="680" w:right="1530" w:bottom="680" w:left="179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EE"/>
    <w:family w:val="roman"/>
    <w:pitch w:val="variable"/>
  </w:font>
  <w:font w:name="font1284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 w16cid:durableId="163016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EC"/>
    <w:rsid w:val="000F0E9A"/>
    <w:rsid w:val="001B50B5"/>
    <w:rsid w:val="00242DEC"/>
    <w:rsid w:val="0029252E"/>
    <w:rsid w:val="00341C46"/>
    <w:rsid w:val="004C5BF4"/>
    <w:rsid w:val="005177E1"/>
    <w:rsid w:val="00595401"/>
    <w:rsid w:val="00726959"/>
    <w:rsid w:val="00746706"/>
    <w:rsid w:val="007E3260"/>
    <w:rsid w:val="0080067F"/>
    <w:rsid w:val="0084634B"/>
    <w:rsid w:val="009B0187"/>
    <w:rsid w:val="009C4624"/>
    <w:rsid w:val="00A949F4"/>
    <w:rsid w:val="00B13BCD"/>
    <w:rsid w:val="00D0261D"/>
    <w:rsid w:val="00F42864"/>
    <w:rsid w:val="00F7322A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E684"/>
  <w15:chartTrackingRefBased/>
  <w15:docId w15:val="{F7C4EFF9-2758-4849-944C-3B570A6F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59"/>
    <w:pPr>
      <w:suppressAutoHyphens/>
      <w:spacing w:after="0" w:line="100" w:lineRule="atLeast"/>
    </w:pPr>
    <w:rPr>
      <w:rFonts w:ascii="Times New Roman" w:eastAsia="SimSun" w:hAnsi="Times New Roman" w:cs="Times New Roman"/>
      <w:kern w:val="0"/>
      <w:lang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4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4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42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42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42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42D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42D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42D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42D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42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42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42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42DE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42DE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42DE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42DE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42DE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42DE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4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4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42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42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4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42DE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42DE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42DE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42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42DE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42DEC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726959"/>
    <w:rPr>
      <w:rFonts w:ascii="Times New Roman" w:hAnsi="Times New Roman" w:cs="Times New Roman"/>
    </w:rPr>
  </w:style>
  <w:style w:type="character" w:customStyle="1" w:styleId="rezumat1">
    <w:name w:val="rezumat_1"/>
    <w:basedOn w:val="Fontdeparagrafimplicit"/>
    <w:rsid w:val="00726959"/>
  </w:style>
  <w:style w:type="paragraph" w:styleId="Corptext">
    <w:name w:val="Body Text"/>
    <w:basedOn w:val="Normal"/>
    <w:link w:val="CorptextCaracter"/>
    <w:rsid w:val="0072695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26959"/>
    <w:rPr>
      <w:rFonts w:ascii="Times New Roman" w:eastAsia="SimSu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12</cp:revision>
  <cp:lastPrinted>2025-11-27T06:57:00Z</cp:lastPrinted>
  <dcterms:created xsi:type="dcterms:W3CDTF">2025-11-25T08:41:00Z</dcterms:created>
  <dcterms:modified xsi:type="dcterms:W3CDTF">2025-12-29T08:53:00Z</dcterms:modified>
</cp:coreProperties>
</file>