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hAnsi="Times New Roman"/>
        </w:rPr>
      </w:pPr>
      <w:bookmarkStart w:name="tree252357" w:id="0"/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_Hlk157290336" w:id="1"/>
      <w:r>
        <w:rPr>
          <w:rFonts w:ascii="Times New Roman" w:hAnsi="Times New Roman"/>
          <w:rtl w:val="0"/>
        </w:rPr>
        <w:t>ROMANIA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bookmarkEnd w:id="1"/>
    </w:p>
    <w:p>
      <w:pPr>
        <w:pStyle w:val="Titlu 1"/>
        <w:ind w:left="0" w:firstLine="0"/>
        <w:jc w:val="left"/>
        <w:rPr>
          <w:rFonts w:ascii="Arial" w:cs="Arial" w:hAnsi="Arial" w:eastAsia="Arial"/>
          <w:b w:val="1"/>
          <w:bCs w:val="1"/>
          <w:spacing w:val="102"/>
          <w:sz w:val="40"/>
          <w:szCs w:val="40"/>
        </w:rPr>
      </w:pPr>
      <w:bookmarkStart w:name="_Hlk157290466" w:id="2"/>
    </w:p>
    <w:p>
      <w:pPr>
        <w:pStyle w:val="Normal.0"/>
        <w:rPr>
          <w:b w:val="1"/>
          <w:bCs w:val="1"/>
        </w:rPr>
      </w:pPr>
      <w:bookmarkStart w:name="_Hlk157290404" w:id="3"/>
      <w:r>
        <w:tab/>
      </w:r>
      <w:bookmarkStart w:name="_Hlk157290405" w:id="4"/>
      <w:r>
        <w:tab/>
        <w:tab/>
        <w:tab/>
        <w:tab/>
      </w:r>
      <w:r>
        <w:rPr>
          <w:b w:val="1"/>
          <w:bCs w:val="1"/>
          <w:rtl w:val="0"/>
        </w:rPr>
        <w:t>DISPOZITIE  NR. 77</w:t>
      </w:r>
      <w:bookmarkEnd w:id="4"/>
      <w:bookmarkEnd w:id="3"/>
    </w:p>
    <w:p>
      <w:pPr>
        <w:pStyle w:val="Normal.0"/>
        <w:spacing w:after="0"/>
        <w:jc w:val="center"/>
      </w:pPr>
      <w:bookmarkStart w:name="_Hlk157290542" w:id="5"/>
      <w:r>
        <w:rPr>
          <w:b w:val="1"/>
          <w:bCs w:val="1"/>
          <w:rtl w:val="0"/>
        </w:rPr>
        <w:t>D</w:t>
      </w:r>
      <w:bookmarkEnd w:id="5"/>
      <w:bookmarkStart w:name="_Hlk157290543" w:id="6"/>
      <w:r>
        <w:rPr>
          <w:b w:val="1"/>
          <w:bCs w:val="1"/>
          <w:rtl w:val="0"/>
        </w:rPr>
        <w:t>in 14.07.2025</w:t>
      </w: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spacing w:after="0"/>
        <w:jc w:val="center"/>
      </w:pPr>
      <w:r>
        <w:rPr>
          <w:b w:val="1"/>
          <w:bCs w:val="1"/>
          <w:rtl w:val="0"/>
        </w:rPr>
        <w:t>privind</w:t>
      </w:r>
      <w:bookmarkEnd w:id="6"/>
      <w:bookmarkEnd w:id="2"/>
      <w:r>
        <w:rPr>
          <w:b w:val="1"/>
          <w:bCs w:val="1"/>
          <w:rtl w:val="0"/>
        </w:rPr>
        <w:t xml:space="preserve"> aprobarea prelungirii acord</w:t>
      </w:r>
      <w:bookmarkEnd w:id="0"/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 xml:space="preserve">rii venitului minim de incluziune pentru beneficiarii care se </w:t>
      </w:r>
      <w:r>
        <w:rPr>
          <w:b w:val="1"/>
          <w:bCs w:val="1"/>
          <w:rtl w:val="0"/>
        </w:rPr>
        <w:t>î</w:t>
      </w:r>
      <w:r>
        <w:rPr>
          <w:b w:val="1"/>
          <w:bCs w:val="1"/>
          <w:rtl w:val="0"/>
        </w:rPr>
        <w:t>ncadreaz</w:t>
      </w:r>
      <w:r>
        <w:rPr>
          <w:b w:val="1"/>
          <w:bCs w:val="1"/>
          <w:rtl w:val="0"/>
        </w:rPr>
        <w:t>ă î</w:t>
      </w:r>
      <w:r>
        <w:rPr>
          <w:b w:val="1"/>
          <w:bCs w:val="1"/>
          <w:rtl w:val="0"/>
        </w:rPr>
        <w:t>n munc</w:t>
      </w:r>
      <w:r>
        <w:rPr>
          <w:b w:val="1"/>
          <w:bCs w:val="1"/>
          <w:rtl w:val="0"/>
        </w:rPr>
        <w:t>ă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  <w:tab/>
        <w:t xml:space="preserve">   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</w:rPr>
        <w:t>Primarul comunei Nadrag judetul Timis,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  <w:r>
        <w:rPr>
          <w:rFonts w:ascii="Times New Roman" w:hAnsi="Times New Roman"/>
          <w:b w:val="1"/>
          <w:bCs w:val="1"/>
          <w:rtl w:val="0"/>
        </w:rPr>
        <w:t xml:space="preserve">            </w:t>
      </w: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 xml:space="preserve">art. 11 lit. b)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43 alin. (6)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prezentei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 xml:space="preserve"> ,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acordarea stimulentului pentru beneficiarii de venit minim de incluziune care se </w:t>
      </w:r>
      <w:r>
        <w:rPr>
          <w:rtl w:val="0"/>
        </w:rPr>
        <w:t>î</w:t>
      </w:r>
      <w:r>
        <w:rPr>
          <w:rtl w:val="0"/>
        </w:rPr>
        <w:t>ncadreaz</w:t>
      </w:r>
      <w:r>
        <w:rPr>
          <w:rtl w:val="0"/>
        </w:rPr>
        <w:t>ă î</w:t>
      </w:r>
      <w:r>
        <w:rPr>
          <w:rtl w:val="0"/>
        </w:rPr>
        <w:t>n munc</w:t>
      </w:r>
      <w:r>
        <w:rPr>
          <w:rtl w:val="0"/>
        </w:rPr>
        <w:t>ă</w:t>
      </w:r>
      <w:r>
        <w:rPr>
          <w:rtl w:val="0"/>
        </w:rPr>
        <w:t xml:space="preserve">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3540" w:firstLine="708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DISPUNE</w:t>
      </w:r>
    </w:p>
    <w:p>
      <w:pPr>
        <w:pStyle w:val="Normal.0"/>
        <w:spacing w:after="0" w:line="240" w:lineRule="auto"/>
        <w:ind w:left="3540" w:firstLine="708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7"/>
      <w:bookmarkEnd w:id="7"/>
      <w:r>
        <w:rPr>
          <w:rtl w:val="0"/>
        </w:rPr>
        <w:t>A</w:t>
      </w:r>
      <w:bookmarkStart w:name="tree252368" w:id="8"/>
      <w:r>
        <w:rPr>
          <w:rtl w:val="0"/>
        </w:rPr>
        <w:t xml:space="preserve">rt. 1. </w:t>
      </w:r>
      <w:r>
        <w:rPr>
          <w:rtl w:val="0"/>
        </w:rPr>
        <w:t xml:space="preserve">– </w:t>
      </w: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 xml:space="preserve">n vedere </w:t>
      </w:r>
      <w:r>
        <w:rPr>
          <w:rtl w:val="0"/>
        </w:rPr>
        <w:t>î</w:t>
      </w:r>
      <w:r>
        <w:rPr>
          <w:rtl w:val="0"/>
        </w:rPr>
        <w:t xml:space="preserve">ncadrarea </w:t>
      </w:r>
      <w:r>
        <w:rPr>
          <w:rtl w:val="0"/>
        </w:rPr>
        <w:t>î</w:t>
      </w:r>
      <w:r>
        <w:rPr>
          <w:rtl w:val="0"/>
        </w:rPr>
        <w:t>n munc</w:t>
      </w:r>
      <w:r>
        <w:rPr>
          <w:rtl w:val="0"/>
        </w:rPr>
        <w:t xml:space="preserve">ă </w:t>
      </w:r>
      <w:r>
        <w:rPr>
          <w:rtl w:val="0"/>
        </w:rPr>
        <w:t xml:space="preserve">a domnului BREZOVAN RAZVAN GHEORGHE (membru in dosarul de VMI titular </w:t>
      </w:r>
      <w:r>
        <w:rPr>
          <w:rtl w:val="0"/>
        </w:rPr>
        <w:t xml:space="preserve">– </w:t>
      </w:r>
      <w:r>
        <w:rPr>
          <w:rtl w:val="0"/>
        </w:rPr>
        <w:t>Brezovan Daniela Maria) 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 Nadrag str.Scolii, bl.5,ap.4, jud.Timis CNP se aprob</w:t>
      </w:r>
      <w:r>
        <w:rPr>
          <w:rtl w:val="0"/>
        </w:rPr>
        <w:t xml:space="preserve">ă </w:t>
      </w:r>
      <w:r>
        <w:rPr>
          <w:rtl w:val="0"/>
        </w:rPr>
        <w:t>prelungirea pentru o perioad</w:t>
      </w:r>
      <w:r>
        <w:rPr>
          <w:rtl w:val="0"/>
        </w:rPr>
        <w:t xml:space="preserve">ă </w:t>
      </w:r>
      <w:r>
        <w:rPr>
          <w:rtl w:val="0"/>
        </w:rPr>
        <w:t>de 6 luni a acord</w:t>
      </w:r>
      <w:r>
        <w:rPr>
          <w:rtl w:val="0"/>
        </w:rPr>
        <w:t>ă</w:t>
      </w:r>
      <w:r>
        <w:rPr>
          <w:rtl w:val="0"/>
        </w:rPr>
        <w:t xml:space="preserve">rii venitului minim de incluziune </w:t>
      </w:r>
      <w:r>
        <w:rPr>
          <w:rtl w:val="0"/>
        </w:rPr>
        <w:t xml:space="preserve">– </w:t>
      </w:r>
      <w:r>
        <w:rPr>
          <w:rtl w:val="0"/>
        </w:rPr>
        <w:t>componenta ajutor de incluziune, stabilit</w:t>
      </w:r>
      <w:r>
        <w:rPr>
          <w:rtl w:val="0"/>
        </w:rPr>
        <w:t>ă î</w:t>
      </w:r>
      <w:r>
        <w:rPr>
          <w:rtl w:val="0"/>
        </w:rPr>
        <w:t>n baza Deciziei nr. 129 din 19</w:t>
      </w:r>
      <w:bookmarkEnd w:id="8"/>
      <w:r>
        <w:rPr>
          <w:rtl w:val="0"/>
        </w:rPr>
        <w:t>.</w:t>
      </w:r>
      <w:bookmarkStart w:name="ref2523A2" w:id="9"/>
      <w:bookmarkEnd w:id="9"/>
      <w:r>
        <w:rPr>
          <w:rtl w:val="0"/>
        </w:rPr>
        <w:t>1</w:t>
      </w:r>
      <w:bookmarkStart w:name="tree252370" w:id="10"/>
      <w:r>
        <w:rPr>
          <w:rtl w:val="0"/>
        </w:rPr>
        <w:t>1.2024;</w:t>
      </w:r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r>
        <w:rPr>
          <w:rtl w:val="0"/>
        </w:rPr>
        <w:t xml:space="preserve">Art. 2. </w:t>
      </w:r>
      <w:bookmarkEnd w:id="10"/>
      <w:r>
        <w:rPr>
          <w:rtl w:val="0"/>
        </w:rPr>
        <w:t>–</w:t>
      </w:r>
      <w:bookmarkStart w:name="tree252373" w:id="11"/>
      <w:r>
        <w:rPr>
          <w:rtl w:val="0"/>
        </w:rPr>
        <w:t xml:space="preserve"> </w:t>
      </w:r>
      <w:bookmarkEnd w:id="11"/>
      <w:bookmarkStart w:name="ref2523A4" w:id="12"/>
      <w:bookmarkEnd w:id="12"/>
      <w:r>
        <w:rPr>
          <w:rtl w:val="0"/>
        </w:rPr>
        <w:t>C</w:t>
      </w:r>
      <w:r>
        <w:rPr>
          <w:rtl w:val="0"/>
        </w:rPr>
        <w:t xml:space="preserve">uantumul venitului minim de incluziune </w:t>
      </w:r>
      <w:r>
        <w:rPr>
          <w:rtl w:val="0"/>
        </w:rPr>
        <w:t xml:space="preserve">– </w:t>
      </w:r>
      <w:r>
        <w:rPr>
          <w:rtl w:val="0"/>
        </w:rPr>
        <w:t>componenta ajutor de incluziune care se acord</w:t>
      </w:r>
      <w:r>
        <w:rPr>
          <w:rtl w:val="0"/>
        </w:rPr>
        <w:t xml:space="preserve">ă </w:t>
      </w:r>
      <w:r>
        <w:rPr>
          <w:rtl w:val="0"/>
        </w:rPr>
        <w:t xml:space="preserve">conform prevederilor alin. (1) este cel primit </w:t>
      </w:r>
      <w:r>
        <w:rPr>
          <w:rtl w:val="0"/>
        </w:rPr>
        <w:t>î</w:t>
      </w:r>
      <w:r>
        <w:rPr>
          <w:rtl w:val="0"/>
        </w:rPr>
        <w:t>n luna anterioar</w:t>
      </w:r>
      <w:r>
        <w:rPr>
          <w:rtl w:val="0"/>
        </w:rPr>
        <w:t>ă î</w:t>
      </w:r>
      <w:r>
        <w:rPr>
          <w:rtl w:val="0"/>
        </w:rPr>
        <w:t>ncadr</w:t>
      </w:r>
      <w:r>
        <w:rPr>
          <w:rtl w:val="0"/>
        </w:rPr>
        <w:t>ă</w:t>
      </w:r>
      <w:r>
        <w:rPr>
          <w:rtl w:val="0"/>
        </w:rPr>
        <w:t xml:space="preserve">rii </w:t>
      </w:r>
      <w:r>
        <w:rPr>
          <w:rtl w:val="0"/>
        </w:rPr>
        <w:t>î</w:t>
      </w:r>
      <w:r>
        <w:rPr>
          <w:rtl w:val="0"/>
        </w:rPr>
        <w:t>n munc</w:t>
      </w:r>
      <w:r>
        <w:rPr>
          <w:rtl w:val="0"/>
        </w:rPr>
        <w:t>ă</w:t>
      </w:r>
      <w:r>
        <w:rPr>
          <w:rtl w:val="0"/>
        </w:rPr>
        <w:t>, respectiv  533lei/lun</w:t>
      </w:r>
      <w:r>
        <w:rPr>
          <w:rtl w:val="0"/>
        </w:rPr>
        <w:t>ă</w:t>
      </w:r>
      <w:r>
        <w:rPr>
          <w:rtl w:val="0"/>
        </w:rPr>
        <w:t>.</w:t>
      </w:r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bookmarkStart w:name="tree252374" w:id="13"/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>n acest sens, respectiv:  compartimentul de asistenta sociala.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ind w:firstLine="708"/>
      </w:pPr>
      <w:bookmarkStart w:name="ref2523A5" w:id="14"/>
      <w:bookmarkEnd w:id="14"/>
      <w:bookmarkEnd w:id="13"/>
      <w:r>
        <w:rPr>
          <w:rtl w:val="0"/>
        </w:rPr>
        <w:t>A</w:t>
      </w:r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dispozitie se comunica:</w:t>
      </w:r>
    </w:p>
    <w:p>
      <w:pPr>
        <w:pStyle w:val="Normal.0"/>
        <w:numPr>
          <w:ilvl w:val="0"/>
          <w:numId w:val="4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Arial" w:hAnsi="Arial"/>
          <w:rtl w:val="0"/>
        </w:rPr>
        <w:t>Institutiei Prefectului judetul Timis;</w:t>
      </w:r>
    </w:p>
    <w:p>
      <w:pPr>
        <w:pStyle w:val="Normal.0"/>
        <w:numPr>
          <w:ilvl w:val="0"/>
          <w:numId w:val="4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Arial" w:hAnsi="Arial"/>
          <w:rtl w:val="0"/>
        </w:rPr>
        <w:t>Familiei dnei Brezovan Daniela Maria;</w:t>
      </w:r>
    </w:p>
    <w:p>
      <w:pPr>
        <w:pStyle w:val="Normal.0"/>
        <w:numPr>
          <w:ilvl w:val="0"/>
          <w:numId w:val="4"/>
        </w:numPr>
        <w:suppressAutoHyphens w:val="0"/>
        <w:bidi w:val="0"/>
        <w:spacing w:after="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Arial" w:hAnsi="Arial"/>
          <w:rtl w:val="0"/>
        </w:rPr>
        <w:t>AJPIS Timis.</w:t>
      </w: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  <w:r>
        <w:rPr>
          <w:rtl w:val="0"/>
        </w:rPr>
        <w:tab/>
        <w:tab/>
        <w:tab/>
        <w:tab/>
        <w:tab/>
        <w:tab/>
        <w:tab/>
        <w:tab/>
        <w:tab/>
        <w:tab/>
        <w:t>PRIMAR</w:t>
      </w:r>
    </w:p>
    <w:p>
      <w:pPr>
        <w:pStyle w:val="Normal.0"/>
        <w:suppressAutoHyphens w:val="0"/>
        <w:spacing w:after="0" w:line="240" w:lineRule="auto"/>
      </w:pPr>
      <w:r>
        <w:rPr>
          <w:rtl w:val="0"/>
        </w:rPr>
        <w:tab/>
        <w:tab/>
        <w:tab/>
        <w:tab/>
        <w:tab/>
        <w:tab/>
        <w:tab/>
        <w:tab/>
        <w:tab/>
        <w:tab/>
        <w:t>MUNTEAN LIVIU</w:t>
      </w:r>
    </w:p>
    <w:p>
      <w:pPr>
        <w:pStyle w:val="Normal.0"/>
        <w:suppressAutoHyphens w:val="0"/>
        <w:spacing w:after="0" w:line="240" w:lineRule="auto"/>
      </w:pPr>
    </w:p>
    <w:p>
      <w:pPr>
        <w:pStyle w:val="Normal.0"/>
        <w:suppressAutoHyphens w:val="0"/>
        <w:spacing w:after="0" w:line="240" w:lineRule="auto"/>
      </w:pPr>
      <w:r>
        <w:rPr>
          <w:rtl w:val="0"/>
        </w:rPr>
        <w:t>AVIZAT SECRETAR GENERAL</w:t>
      </w:r>
    </w:p>
    <w:p>
      <w:pPr>
        <w:pStyle w:val="Normal.0"/>
        <w:suppressAutoHyphens w:val="0"/>
        <w:spacing w:after="0" w:line="240" w:lineRule="auto"/>
      </w:pPr>
      <w:r>
        <w:rPr>
          <w:rtl w:val="0"/>
        </w:rPr>
        <w:t>WAGNER DAN ANTONIU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uppressAutoHyphens w:val="0"/>
        <w:spacing w:after="0" w:line="240" w:lineRule="auto"/>
        <w:ind w:left="1080" w:firstLine="0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sz w:val="28"/>
          <w:szCs w:val="28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u 1">
    <w:name w:val="Titlu 1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432" w:right="0" w:hanging="432"/>
      <w:jc w:val="center"/>
      <w:outlineLvl w:val="0"/>
    </w:pPr>
    <w:rPr>
      <w:rFonts w:ascii="Arial Black" w:cs="Arial Black" w:hAnsi="Arial Black" w:eastAsia="Arial Blac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