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NR._127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 24.10.2025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familia dnei Nistor Emanuela Cosmina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8 din data de 30.09.2025,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respectiv stabilirea dreptului la venitul minim de incluziune pentru familia dnei Nistor Emanuela Cosmina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8 din 30.09.2025,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te dreptul la venitul minim de incluziune pentru familia dnei Nistor Emanuela Cosmina,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 Nadrag str. Gradinitei, bl.24,ap.32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1394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b w:val="1"/>
          <w:bCs w:val="1"/>
          <w:rtl w:val="0"/>
        </w:rPr>
        <w:t>,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4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479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915 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01.10.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15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Dnei Nistor Emanuela Cosmina;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