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11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119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30.09.2025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 pentru familia dnei Gomoi Andreea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119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30.09.2025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 pentru familia dnei Gomoi Andreea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01.10.2025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</w:t>
      </w:r>
      <w:r>
        <w:rPr>
          <w:b w:val="1"/>
          <w:bCs w:val="1"/>
          <w:rtl w:val="0"/>
        </w:rPr>
        <w:t>nr.9/31.01.2024</w:t>
      </w:r>
      <w:r>
        <w:rPr>
          <w:rtl w:val="0"/>
        </w:rPr>
        <w:t xml:space="preserve">  î</w:t>
      </w:r>
      <w:r>
        <w:rPr>
          <w:rtl w:val="0"/>
        </w:rPr>
        <w:t xml:space="preserve">n cuantum de  </w:t>
      </w:r>
      <w:r>
        <w:rPr>
          <w:b w:val="1"/>
          <w:bCs w:val="1"/>
          <w:rtl w:val="0"/>
        </w:rPr>
        <w:t>1052 lei</w:t>
      </w:r>
      <w:r>
        <w:rPr>
          <w:rtl w:val="0"/>
        </w:rPr>
        <w:t xml:space="preserve"> ajutor de incluziune si 320 lei ajutor pentru familia cu copii  pentru doamna  Gomoi Andreea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Turnatoriei, bl.23,ap.30,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modificare nume si membri familie;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