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uppressAutoHyphens w:val="0"/>
        <w:spacing w:after="0" w:line="240" w:lineRule="auto"/>
        <w:rPr>
          <w:rFonts w:ascii="Times New Roman" w:cs="Times New Roman" w:hAnsi="Times New Roman" w:eastAsia="Times New Roman"/>
        </w:rPr>
      </w:pPr>
      <w:bookmarkStart w:name="tree252357" w:id="0"/>
      <w:r>
        <w:rPr>
          <w:rFonts w:ascii="Times New Roman" w:hAnsi="Times New Roman"/>
          <w:rtl w:val="0"/>
        </w:rPr>
        <w:t>R</w:t>
      </w:r>
      <w:bookmarkEnd w:id="0"/>
      <w:bookmarkStart w:name="_Hlk157290336" w:id="1"/>
      <w:r>
        <w:rPr>
          <w:rFonts w:ascii="Times New Roman" w:hAnsi="Times New Roman"/>
          <w:rtl w:val="0"/>
        </w:rPr>
        <w:t>OMANIA</w:t>
      </w:r>
    </w:p>
    <w:p>
      <w:pPr>
        <w:pStyle w:val="Normal.0"/>
        <w:suppressAutoHyphens w:val="0"/>
        <w:spacing w:after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JUDETUL TIMIS</w:t>
      </w:r>
    </w:p>
    <w:p>
      <w:pPr>
        <w:pStyle w:val="Normal.0"/>
        <w:suppressAutoHyphens w:val="0"/>
        <w:spacing w:after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COMUNA N</w:t>
      </w:r>
      <w:r>
        <w:rPr>
          <w:rFonts w:ascii="Times New Roman" w:hAnsi="Times New Roman" w:hint="default"/>
          <w:rtl w:val="0"/>
        </w:rPr>
        <w:t>Ă</w:t>
      </w:r>
      <w:r>
        <w:rPr>
          <w:rFonts w:ascii="Times New Roman" w:hAnsi="Times New Roman"/>
          <w:rtl w:val="0"/>
        </w:rPr>
        <w:t xml:space="preserve">DRAG </w:t>
      </w:r>
    </w:p>
    <w:p>
      <w:pPr>
        <w:pStyle w:val="Normal.0"/>
        <w:suppressAutoHyphens w:val="0"/>
        <w:spacing w:after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PRIMAR</w:t>
      </w:r>
    </w:p>
    <w:p>
      <w:pPr>
        <w:pStyle w:val="Normal.0"/>
        <w:spacing w:after="0" w:line="240" w:lineRule="auto"/>
        <w:ind w:firstLine="567"/>
        <w:jc w:val="right"/>
        <w:rPr>
          <w:i w:val="1"/>
          <w:iCs w:val="1"/>
          <w:outline w:val="0"/>
          <w:color w:val="000000"/>
          <w:sz w:val="20"/>
          <w:szCs w:val="20"/>
          <w:u w:val="single"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240" w:lineRule="auto"/>
        <w:ind w:firstLine="567"/>
        <w:jc w:val="right"/>
        <w:rPr>
          <w:i w:val="1"/>
          <w:iCs w:val="1"/>
          <w:outline w:val="0"/>
          <w:color w:val="000000"/>
          <w:sz w:val="20"/>
          <w:szCs w:val="20"/>
          <w:u w:val="single"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240" w:lineRule="auto"/>
        <w:rPr>
          <w:shd w:val="clear" w:color="auto" w:fill="d1d1d1"/>
        </w:rPr>
      </w:pPr>
    </w:p>
    <w:p>
      <w:pPr>
        <w:pStyle w:val="Normal.0"/>
        <w:spacing w:after="0" w:line="240" w:lineRule="auto"/>
      </w:pPr>
    </w:p>
    <w:p>
      <w:pPr>
        <w:pStyle w:val="Normal.0"/>
        <w:ind w:firstLine="567"/>
        <w:jc w:val="both"/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6984</wp:posOffset>
                </wp:positionH>
                <wp:positionV relativeFrom="line">
                  <wp:posOffset>80009</wp:posOffset>
                </wp:positionV>
                <wp:extent cx="6205221" cy="840106"/>
                <wp:effectExtent l="0" t="0" r="0" b="0"/>
                <wp:wrapNone/>
                <wp:docPr id="1073741827" name="officeArt object" descr="DISPOZITIA NR. 103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5221" cy="8401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  <w:spacing w:after="0"/>
                              <w:jc w:val="center"/>
                              <w:rPr>
                                <w:b w:val="1"/>
                                <w:bCs w:val="1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rtl w:val="0"/>
                              </w:rPr>
                              <w:t>DISPOZITIA NR. 103</w:t>
                            </w:r>
                          </w:p>
                          <w:p>
                            <w:pPr>
                              <w:pStyle w:val="Normal.0"/>
                              <w:spacing w:after="0"/>
                              <w:jc w:val="center"/>
                              <w:rPr>
                                <w:b w:val="1"/>
                                <w:bCs w:val="1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rtl w:val="0"/>
                              </w:rPr>
                              <w:t>Din 10.09.2025</w:t>
                            </w:r>
                          </w:p>
                          <w:p>
                            <w:pPr>
                              <w:pStyle w:val="Normal.0"/>
                              <w:spacing w:after="0"/>
                              <w:jc w:val="center"/>
                            </w:pPr>
                            <w:r>
                              <w:rPr>
                                <w:b w:val="1"/>
                                <w:bCs w:val="1"/>
                                <w:rtl w:val="0"/>
                              </w:rPr>
                              <w:t xml:space="preserve">privind </w:t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</w:rPr>
                              <w:t>î</w:t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</w:rPr>
                              <w:t>ncetarea acord</w:t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</w:rPr>
                              <w:t>ă</w:t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</w:rPr>
                              <w:t>rii venitului minim de incluziune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0.5pt;margin-top:6.3pt;width:488.6pt;height:66.2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FFFFFF" opacity="100.0%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spacing w:after="0"/>
                        <w:jc w:val="center"/>
                        <w:rPr>
                          <w:b w:val="1"/>
                          <w:bCs w:val="1"/>
                        </w:rPr>
                      </w:pPr>
                      <w:r>
                        <w:rPr>
                          <w:b w:val="1"/>
                          <w:bCs w:val="1"/>
                          <w:rtl w:val="0"/>
                        </w:rPr>
                        <w:t>DISPOZITIA NR. 103</w:t>
                      </w:r>
                    </w:p>
                    <w:p>
                      <w:pPr>
                        <w:pStyle w:val="Normal.0"/>
                        <w:spacing w:after="0"/>
                        <w:jc w:val="center"/>
                        <w:rPr>
                          <w:b w:val="1"/>
                          <w:bCs w:val="1"/>
                        </w:rPr>
                      </w:pPr>
                      <w:r>
                        <w:rPr>
                          <w:b w:val="1"/>
                          <w:bCs w:val="1"/>
                          <w:rtl w:val="0"/>
                        </w:rPr>
                        <w:t>Din 10.09.2025</w:t>
                      </w:r>
                    </w:p>
                    <w:p>
                      <w:pPr>
                        <w:pStyle w:val="Normal.0"/>
                        <w:spacing w:after="0"/>
                        <w:jc w:val="center"/>
                      </w:pPr>
                      <w:r>
                        <w:rPr>
                          <w:b w:val="1"/>
                          <w:bCs w:val="1"/>
                          <w:rtl w:val="0"/>
                        </w:rPr>
                        <w:t xml:space="preserve">privind </w:t>
                      </w:r>
                      <w:r>
                        <w:rPr>
                          <w:b w:val="1"/>
                          <w:bCs w:val="1"/>
                          <w:rtl w:val="0"/>
                        </w:rPr>
                        <w:t>î</w:t>
                      </w:r>
                      <w:r>
                        <w:rPr>
                          <w:b w:val="1"/>
                          <w:bCs w:val="1"/>
                          <w:rtl w:val="0"/>
                        </w:rPr>
                        <w:t>ncetarea acord</w:t>
                      </w:r>
                      <w:r>
                        <w:rPr>
                          <w:b w:val="1"/>
                          <w:bCs w:val="1"/>
                          <w:rtl w:val="0"/>
                        </w:rPr>
                        <w:t>ă</w:t>
                      </w:r>
                      <w:r>
                        <w:rPr>
                          <w:b w:val="1"/>
                          <w:bCs w:val="1"/>
                          <w:rtl w:val="0"/>
                        </w:rPr>
                        <w:t>rii venitului minim de incluziune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</w:p>
    <w:p>
      <w:pPr>
        <w:pStyle w:val="Normal.0"/>
        <w:ind w:firstLine="567"/>
        <w:jc w:val="both"/>
      </w:pPr>
    </w:p>
    <w:p>
      <w:pPr>
        <w:pStyle w:val="Normal.0"/>
        <w:tabs>
          <w:tab w:val="left" w:pos="1134"/>
        </w:tabs>
        <w:spacing w:after="0" w:line="240" w:lineRule="auto"/>
        <w:jc w:val="both"/>
      </w:pPr>
    </w:p>
    <w:p>
      <w:pPr>
        <w:pStyle w:val="Normal.0"/>
        <w:tabs>
          <w:tab w:val="left" w:pos="1134"/>
        </w:tabs>
        <w:spacing w:after="0" w:line="240" w:lineRule="auto"/>
        <w:ind w:firstLine="851"/>
        <w:jc w:val="both"/>
      </w:pPr>
    </w:p>
    <w:p>
      <w:pPr>
        <w:pStyle w:val="Normal.0"/>
        <w:tabs>
          <w:tab w:val="left" w:pos="1134"/>
        </w:tabs>
        <w:spacing w:after="0" w:line="240" w:lineRule="auto"/>
        <w:ind w:firstLine="851"/>
        <w:jc w:val="both"/>
      </w:pPr>
      <w:r>
        <w:rPr>
          <w:rtl w:val="0"/>
        </w:rPr>
        <w:t>Av</w:t>
      </w:r>
      <w:r>
        <w:rPr>
          <w:rtl w:val="0"/>
        </w:rPr>
        <w:t>â</w:t>
      </w:r>
      <w:r>
        <w:rPr>
          <w:rtl w:val="0"/>
        </w:rPr>
        <w:t xml:space="preserve">nd </w:t>
      </w:r>
      <w:r>
        <w:rPr>
          <w:rtl w:val="0"/>
        </w:rPr>
        <w:t>î</w:t>
      </w:r>
      <w:r>
        <w:rPr>
          <w:rtl w:val="0"/>
        </w:rPr>
        <w:t>n vedere temeiurile juridice, respectiv prevederile:</w:t>
      </w:r>
    </w:p>
    <w:p>
      <w:pPr>
        <w:pStyle w:val="Normal.0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tl w:val="0"/>
        </w:rPr>
      </w:pPr>
      <w:r>
        <w:rPr>
          <w:rtl w:val="0"/>
        </w:rPr>
        <w:t xml:space="preserve">art. 1 alin. (5), art. 31 alin. (2), art. 120 alin. (1) </w:t>
      </w:r>
      <w:r>
        <w:rPr>
          <w:rtl w:val="0"/>
        </w:rPr>
        <w:t>ș</w:t>
      </w:r>
      <w:r>
        <w:rPr>
          <w:rtl w:val="0"/>
        </w:rPr>
        <w:t xml:space="preserve">i art. 121 alin. (1) </w:t>
      </w:r>
      <w:r>
        <w:rPr>
          <w:rtl w:val="0"/>
        </w:rPr>
        <w:t>ș</w:t>
      </w:r>
      <w:r>
        <w:rPr>
          <w:rtl w:val="0"/>
        </w:rPr>
        <w:t>i (2) din Constitu</w:t>
      </w:r>
      <w:r>
        <w:rPr>
          <w:rtl w:val="0"/>
        </w:rPr>
        <w:t>ț</w:t>
      </w:r>
      <w:r>
        <w:rPr>
          <w:rtl w:val="0"/>
        </w:rPr>
        <w:t>ia Rom</w:t>
      </w:r>
      <w:r>
        <w:rPr>
          <w:rtl w:val="0"/>
        </w:rPr>
        <w:t>â</w:t>
      </w:r>
      <w:r>
        <w:rPr>
          <w:rtl w:val="0"/>
        </w:rPr>
        <w:t>niei, republicat</w:t>
      </w:r>
      <w:r>
        <w:rPr>
          <w:rtl w:val="0"/>
        </w:rPr>
        <w:t>ă</w:t>
      </w:r>
      <w:r>
        <w:rPr>
          <w:rtl w:val="0"/>
        </w:rPr>
        <w:t>;</w:t>
      </w:r>
    </w:p>
    <w:p>
      <w:pPr>
        <w:pStyle w:val="Normal.0"/>
        <w:numPr>
          <w:ilvl w:val="0"/>
          <w:numId w:val="2"/>
        </w:numPr>
        <w:suppressAutoHyphens w:val="0"/>
        <w:spacing w:after="0" w:line="240" w:lineRule="auto"/>
        <w:jc w:val="both"/>
      </w:pPr>
      <w:r>
        <w:rPr>
          <w:rtl w:val="0"/>
        </w:rPr>
        <w:t xml:space="preserve">art. 4 paragrafele 1 </w:t>
      </w:r>
      <w:r>
        <w:rPr>
          <w:rtl w:val="0"/>
        </w:rPr>
        <w:t xml:space="preserve">– </w:t>
      </w:r>
      <w:r>
        <w:rPr>
          <w:rtl w:val="0"/>
        </w:rPr>
        <w:t>4 din Carta european</w:t>
      </w:r>
      <w:r>
        <w:rPr>
          <w:rtl w:val="0"/>
        </w:rPr>
        <w:t xml:space="preserve">ă </w:t>
      </w:r>
      <w:r>
        <w:rPr>
          <w:rtl w:val="0"/>
        </w:rPr>
        <w:t>a autonomiei locale, adoptat</w:t>
      </w:r>
      <w:r>
        <w:rPr>
          <w:rtl w:val="0"/>
        </w:rPr>
        <w:t xml:space="preserve">ă </w:t>
      </w:r>
      <w:r>
        <w:rPr>
          <w:rtl w:val="0"/>
        </w:rPr>
        <w:t>la Strasbourg la 15 octombrie 1985, ratificat</w:t>
      </w:r>
      <w:r>
        <w:rPr>
          <w:rtl w:val="0"/>
        </w:rPr>
        <w:t xml:space="preserve">ă </w:t>
      </w:r>
      <w:r>
        <w:rPr>
          <w:rtl w:val="0"/>
        </w:rPr>
        <w:t>prin Legea nr. 199/1997;</w:t>
      </w:r>
    </w:p>
    <w:p>
      <w:pPr>
        <w:pStyle w:val="Normal.0"/>
        <w:numPr>
          <w:ilvl w:val="0"/>
          <w:numId w:val="2"/>
        </w:numPr>
        <w:suppressAutoHyphens w:val="0"/>
        <w:spacing w:after="0" w:line="240" w:lineRule="auto"/>
        <w:jc w:val="both"/>
      </w:pPr>
      <w:r>
        <w:rPr>
          <w:rtl w:val="0"/>
        </w:rPr>
        <w:t>art. 7 alin. (2) din Legea nr. 287/2009 privind Codul civil, republicat</w:t>
      </w:r>
      <w:r>
        <w:rPr>
          <w:rtl w:val="0"/>
        </w:rPr>
        <w:t>ă</w:t>
      </w:r>
      <w:r>
        <w:rPr>
          <w:rtl w:val="0"/>
        </w:rPr>
        <w:t>, cu modific</w:t>
      </w:r>
      <w:r>
        <w:rPr>
          <w:rtl w:val="0"/>
        </w:rPr>
        <w:t>ă</w:t>
      </w:r>
      <w:r>
        <w:rPr>
          <w:rtl w:val="0"/>
        </w:rPr>
        <w:t xml:space="preserve">rile </w:t>
      </w:r>
      <w:r>
        <w:rPr>
          <w:rtl w:val="0"/>
        </w:rPr>
        <w:t>ș</w:t>
      </w:r>
      <w:r>
        <w:rPr>
          <w:rtl w:val="0"/>
        </w:rPr>
        <w:t>i complet</w:t>
      </w:r>
      <w:r>
        <w:rPr>
          <w:rtl w:val="0"/>
        </w:rPr>
        <w:t>ă</w:t>
      </w:r>
      <w:r>
        <w:rPr>
          <w:rtl w:val="0"/>
        </w:rPr>
        <w:t>rile ulterioare;</w:t>
      </w:r>
    </w:p>
    <w:p>
      <w:pPr>
        <w:pStyle w:val="Normal.0"/>
        <w:numPr>
          <w:ilvl w:val="0"/>
          <w:numId w:val="2"/>
        </w:numPr>
        <w:suppressAutoHyphens w:val="0"/>
        <w:spacing w:after="0" w:line="240" w:lineRule="auto"/>
        <w:jc w:val="both"/>
      </w:pPr>
      <w:r>
        <w:rPr>
          <w:rtl w:val="0"/>
        </w:rPr>
        <w:t xml:space="preserve">art. 5 lit. t), art. 154 alin. (1), art. 155 alin. (1) lit. d) </w:t>
      </w:r>
      <w:r>
        <w:rPr>
          <w:rtl w:val="0"/>
        </w:rPr>
        <w:t>ș</w:t>
      </w:r>
      <w:r>
        <w:rPr>
          <w:rtl w:val="0"/>
        </w:rPr>
        <w:t xml:space="preserve">i e), art. 197 alin. (1), (3) </w:t>
      </w:r>
      <w:r>
        <w:rPr>
          <w:rtl w:val="0"/>
        </w:rPr>
        <w:t xml:space="preserve">– </w:t>
      </w:r>
      <w:r>
        <w:rPr>
          <w:rtl w:val="0"/>
        </w:rPr>
        <w:t xml:space="preserve">(5), art. 199 </w:t>
      </w:r>
      <w:r>
        <w:rPr>
          <w:rtl w:val="0"/>
        </w:rPr>
        <w:t>ș</w:t>
      </w:r>
      <w:r>
        <w:rPr>
          <w:rtl w:val="0"/>
        </w:rPr>
        <w:t>i art. 240 din Ordonan</w:t>
      </w:r>
      <w:r>
        <w:rPr>
          <w:rtl w:val="0"/>
        </w:rPr>
        <w:t>ț</w:t>
      </w:r>
      <w:r>
        <w:rPr>
          <w:rtl w:val="0"/>
        </w:rPr>
        <w:t>a de urgen</w:t>
      </w:r>
      <w:r>
        <w:rPr>
          <w:rtl w:val="0"/>
        </w:rPr>
        <w:t xml:space="preserve">ță </w:t>
      </w:r>
      <w:r>
        <w:rPr>
          <w:rtl w:val="0"/>
        </w:rPr>
        <w:t>a Guvernului nr. 57/2019 privind Codul administrativ, cu modific</w:t>
      </w:r>
      <w:r>
        <w:rPr>
          <w:rtl w:val="0"/>
        </w:rPr>
        <w:t>ă</w:t>
      </w:r>
      <w:r>
        <w:rPr>
          <w:rtl w:val="0"/>
        </w:rPr>
        <w:t xml:space="preserve">rile </w:t>
      </w:r>
      <w:r>
        <w:rPr>
          <w:rtl w:val="0"/>
        </w:rPr>
        <w:t>ș</w:t>
      </w:r>
      <w:r>
        <w:rPr>
          <w:rtl w:val="0"/>
        </w:rPr>
        <w:t>i complet</w:t>
      </w:r>
      <w:r>
        <w:rPr>
          <w:rtl w:val="0"/>
        </w:rPr>
        <w:t>ă</w:t>
      </w:r>
      <w:r>
        <w:rPr>
          <w:rtl w:val="0"/>
        </w:rPr>
        <w:t xml:space="preserve">rile ulterioare, coroborate cu cele ale art. 1 alin. (1) </w:t>
      </w:r>
      <w:r>
        <w:rPr>
          <w:rtl w:val="0"/>
        </w:rPr>
        <w:t>ș</w:t>
      </w:r>
      <w:r>
        <w:rPr>
          <w:rtl w:val="0"/>
        </w:rPr>
        <w:t xml:space="preserve">i (2) lit. b) </w:t>
      </w:r>
      <w:r>
        <w:rPr>
          <w:rtl w:val="0"/>
        </w:rPr>
        <w:t>ș</w:t>
      </w:r>
      <w:r>
        <w:rPr>
          <w:rtl w:val="0"/>
        </w:rPr>
        <w:t>i d) din anexa nr. 1 la aceasta;</w:t>
      </w:r>
    </w:p>
    <w:p>
      <w:pPr>
        <w:pStyle w:val="Normal.0"/>
        <w:numPr>
          <w:ilvl w:val="0"/>
          <w:numId w:val="2"/>
        </w:numPr>
        <w:suppressAutoHyphens w:val="0"/>
        <w:spacing w:after="0" w:line="240" w:lineRule="auto"/>
        <w:jc w:val="both"/>
      </w:pPr>
      <w:r>
        <w:rPr>
          <w:rtl w:val="0"/>
        </w:rPr>
        <w:t xml:space="preserve">art. 1 alin. (1) </w:t>
      </w:r>
      <w:r>
        <w:rPr>
          <w:rtl w:val="0"/>
        </w:rPr>
        <w:t xml:space="preserve">– </w:t>
      </w:r>
      <w:r>
        <w:rPr>
          <w:rtl w:val="0"/>
        </w:rPr>
        <w:t xml:space="preserve">(6), art. 2 alin. (1) lit. a) </w:t>
      </w:r>
      <w:r>
        <w:rPr>
          <w:rtl w:val="0"/>
        </w:rPr>
        <w:t xml:space="preserve">– </w:t>
      </w:r>
      <w:r>
        <w:rPr>
          <w:rtl w:val="0"/>
        </w:rPr>
        <w:t xml:space="preserve">c), art. 4 alin. (1) </w:t>
      </w:r>
      <w:r>
        <w:rPr>
          <w:rtl w:val="0"/>
        </w:rPr>
        <w:t xml:space="preserve">– </w:t>
      </w:r>
      <w:r>
        <w:rPr>
          <w:rtl w:val="0"/>
        </w:rPr>
        <w:t xml:space="preserve">(3), art. 7 alin. (1) </w:t>
      </w:r>
      <w:r>
        <w:rPr>
          <w:rtl w:val="0"/>
        </w:rPr>
        <w:t>ș</w:t>
      </w:r>
      <w:r>
        <w:rPr>
          <w:rtl w:val="0"/>
        </w:rPr>
        <w:t xml:space="preserve">i (3) </w:t>
      </w:r>
      <w:r>
        <w:rPr>
          <w:rtl w:val="0"/>
        </w:rPr>
        <w:t>ș</w:t>
      </w:r>
      <w:r>
        <w:rPr>
          <w:rtl w:val="0"/>
        </w:rPr>
        <w:t xml:space="preserve">i art. 11 alin. (1) </w:t>
      </w:r>
      <w:r>
        <w:rPr>
          <w:rtl w:val="0"/>
        </w:rPr>
        <w:t>ș</w:t>
      </w:r>
      <w:r>
        <w:rPr>
          <w:rtl w:val="0"/>
        </w:rPr>
        <w:t>i (2) din Legea contenciosului administrativ nr. 554/2004, cu modific</w:t>
      </w:r>
      <w:r>
        <w:rPr>
          <w:rtl w:val="0"/>
        </w:rPr>
        <w:t>ă</w:t>
      </w:r>
      <w:r>
        <w:rPr>
          <w:rtl w:val="0"/>
        </w:rPr>
        <w:t xml:space="preserve">rile </w:t>
      </w:r>
      <w:r>
        <w:rPr>
          <w:rtl w:val="0"/>
        </w:rPr>
        <w:t>ș</w:t>
      </w:r>
      <w:r>
        <w:rPr>
          <w:rtl w:val="0"/>
        </w:rPr>
        <w:t>i complet</w:t>
      </w:r>
      <w:r>
        <w:rPr>
          <w:rtl w:val="0"/>
        </w:rPr>
        <w:t>ă</w:t>
      </w:r>
      <w:r>
        <w:rPr>
          <w:rtl w:val="0"/>
        </w:rPr>
        <w:t>rile ulterioare;</w:t>
      </w:r>
    </w:p>
    <w:p>
      <w:pPr>
        <w:pStyle w:val="Normal.0"/>
        <w:numPr>
          <w:ilvl w:val="0"/>
          <w:numId w:val="2"/>
        </w:numPr>
        <w:bidi w:val="0"/>
        <w:spacing w:after="0"/>
        <w:ind w:right="0"/>
        <w:jc w:val="both"/>
        <w:rPr>
          <w:rtl w:val="0"/>
        </w:rPr>
      </w:pPr>
      <w:r>
        <w:rPr>
          <w:rtl w:val="0"/>
        </w:rPr>
        <w:t>art. 13</w:t>
      </w:r>
      <w:r>
        <w:rPr>
          <w:vertAlign w:val="superscript"/>
          <w:rtl w:val="0"/>
        </w:rPr>
        <w:t>2</w:t>
      </w:r>
      <w:r>
        <w:rPr>
          <w:rtl w:val="0"/>
        </w:rPr>
        <w:t xml:space="preserve"> alin. (6), art. 27</w:t>
      </w:r>
      <w:r>
        <w:rPr>
          <w:vertAlign w:val="superscript"/>
          <w:rtl w:val="0"/>
        </w:rPr>
        <w:t>4</w:t>
      </w:r>
      <w:r>
        <w:rPr>
          <w:rtl w:val="0"/>
        </w:rPr>
        <w:t xml:space="preserve"> alin. (5), art. 27</w:t>
      </w:r>
      <w:r>
        <w:rPr>
          <w:vertAlign w:val="superscript"/>
          <w:rtl w:val="0"/>
        </w:rPr>
        <w:t>11</w:t>
      </w:r>
      <w:r>
        <w:rPr>
          <w:rtl w:val="0"/>
        </w:rPr>
        <w:t xml:space="preserve"> alin. (5), art. 33 (5), art. 40 alin. (2), art. 61 alin. (5), art. 69 </w:t>
      </w:r>
      <w:r>
        <w:rPr>
          <w:rtl w:val="0"/>
        </w:rPr>
        <w:t>ș</w:t>
      </w:r>
      <w:r>
        <w:rPr>
          <w:rtl w:val="0"/>
        </w:rPr>
        <w:t>i art. 88 din Legea nr. Legea nr. 196/2016 privind venitul minim de incluziune, cu modific</w:t>
      </w:r>
      <w:r>
        <w:rPr>
          <w:rtl w:val="0"/>
        </w:rPr>
        <w:t>ă</w:t>
      </w:r>
      <w:r>
        <w:rPr>
          <w:rtl w:val="0"/>
        </w:rPr>
        <w:t xml:space="preserve">rile </w:t>
      </w:r>
      <w:r>
        <w:rPr>
          <w:rtl w:val="0"/>
        </w:rPr>
        <w:t>ș</w:t>
      </w:r>
      <w:r>
        <w:rPr>
          <w:rtl w:val="0"/>
        </w:rPr>
        <w:t>i complet</w:t>
      </w:r>
      <w:r>
        <w:rPr>
          <w:rtl w:val="0"/>
        </w:rPr>
        <w:t>ă</w:t>
      </w:r>
      <w:r>
        <w:rPr>
          <w:rtl w:val="0"/>
        </w:rPr>
        <w:t xml:space="preserve">rile ulterioare; </w:t>
      </w:r>
    </w:p>
    <w:p>
      <w:pPr>
        <w:pStyle w:val="Normal.0"/>
        <w:numPr>
          <w:ilvl w:val="0"/>
          <w:numId w:val="2"/>
        </w:numPr>
        <w:bidi w:val="0"/>
        <w:spacing w:after="0"/>
        <w:ind w:right="0"/>
        <w:jc w:val="both"/>
        <w:rPr>
          <w:rtl w:val="0"/>
        </w:rPr>
      </w:pPr>
      <w:r>
        <w:rPr>
          <w:rtl w:val="0"/>
        </w:rPr>
        <w:t>art. 51 din Normele metodologice de aplicare a prevederilor Legii nr. 196/2016 privind venitul minim de incluziune, aprobate prin Hot</w:t>
      </w:r>
      <w:r>
        <w:rPr>
          <w:rtl w:val="0"/>
        </w:rPr>
        <w:t>ă</w:t>
      </w:r>
      <w:r>
        <w:rPr>
          <w:rtl w:val="0"/>
        </w:rPr>
        <w:t>r</w:t>
      </w:r>
      <w:r>
        <w:rPr>
          <w:rtl w:val="0"/>
        </w:rPr>
        <w:t>â</w:t>
      </w:r>
      <w:r>
        <w:rPr>
          <w:rtl w:val="0"/>
        </w:rPr>
        <w:t>rea Guvernului nr. 1154/2022, cu modific</w:t>
      </w:r>
      <w:r>
        <w:rPr>
          <w:rtl w:val="0"/>
        </w:rPr>
        <w:t>ă</w:t>
      </w:r>
      <w:r>
        <w:rPr>
          <w:rtl w:val="0"/>
        </w:rPr>
        <w:t xml:space="preserve">rile </w:t>
      </w:r>
      <w:r>
        <w:rPr>
          <w:rtl w:val="0"/>
        </w:rPr>
        <w:t>ș</w:t>
      </w:r>
      <w:r>
        <w:rPr>
          <w:rtl w:val="0"/>
        </w:rPr>
        <w:t>i complet</w:t>
      </w:r>
      <w:r>
        <w:rPr>
          <w:rtl w:val="0"/>
        </w:rPr>
        <w:t>ă</w:t>
      </w:r>
      <w:r>
        <w:rPr>
          <w:rtl w:val="0"/>
        </w:rPr>
        <w:t>rile ulterioare;</w:t>
      </w:r>
    </w:p>
    <w:p>
      <w:pPr>
        <w:pStyle w:val="Normal.0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tl w:val="0"/>
        </w:rPr>
      </w:pPr>
      <w:r>
        <w:rPr>
          <w:rtl w:val="0"/>
        </w:rPr>
        <w:t>Ordonan</w:t>
      </w:r>
      <w:r>
        <w:rPr>
          <w:rtl w:val="0"/>
        </w:rPr>
        <w:t>ț</w:t>
      </w:r>
      <w:r>
        <w:rPr>
          <w:rtl w:val="0"/>
        </w:rPr>
        <w:t>ei Guvernului nr. 27/2002 privind reglementarea activit</w:t>
      </w:r>
      <w:r>
        <w:rPr>
          <w:rtl w:val="0"/>
        </w:rPr>
        <w:t>ăț</w:t>
      </w:r>
      <w:r>
        <w:rPr>
          <w:rtl w:val="0"/>
        </w:rPr>
        <w:t>ii de solu</w:t>
      </w:r>
      <w:r>
        <w:rPr>
          <w:rtl w:val="0"/>
        </w:rPr>
        <w:t>ț</w:t>
      </w:r>
      <w:r>
        <w:rPr>
          <w:rtl w:val="0"/>
        </w:rPr>
        <w:t>ionare a peti</w:t>
      </w:r>
      <w:r>
        <w:rPr>
          <w:rtl w:val="0"/>
        </w:rPr>
        <w:t>ț</w:t>
      </w:r>
      <w:r>
        <w:rPr>
          <w:rtl w:val="0"/>
        </w:rPr>
        <w:t>iilor, aprobat</w:t>
      </w:r>
      <w:r>
        <w:rPr>
          <w:rtl w:val="0"/>
        </w:rPr>
        <w:t xml:space="preserve">ă </w:t>
      </w:r>
      <w:r>
        <w:rPr>
          <w:rtl w:val="0"/>
        </w:rPr>
        <w:t>cu modific</w:t>
      </w:r>
      <w:r>
        <w:rPr>
          <w:rtl w:val="0"/>
        </w:rPr>
        <w:t>ă</w:t>
      </w:r>
      <w:r>
        <w:rPr>
          <w:rtl w:val="0"/>
        </w:rPr>
        <w:t xml:space="preserve">ri </w:t>
      </w:r>
      <w:r>
        <w:rPr>
          <w:rtl w:val="0"/>
        </w:rPr>
        <w:t>ș</w:t>
      </w:r>
      <w:r>
        <w:rPr>
          <w:rtl w:val="0"/>
        </w:rPr>
        <w:t>i complet</w:t>
      </w:r>
      <w:r>
        <w:rPr>
          <w:rtl w:val="0"/>
        </w:rPr>
        <w:t>ă</w:t>
      </w:r>
      <w:r>
        <w:rPr>
          <w:rtl w:val="0"/>
        </w:rPr>
        <w:t>ri prin Legea nr. 233/2002, cu modific</w:t>
      </w:r>
      <w:r>
        <w:rPr>
          <w:rtl w:val="0"/>
        </w:rPr>
        <w:t>ă</w:t>
      </w:r>
      <w:r>
        <w:rPr>
          <w:rtl w:val="0"/>
        </w:rPr>
        <w:t>rile ulterioare;</w:t>
      </w:r>
    </w:p>
    <w:p>
      <w:pPr>
        <w:pStyle w:val="Normal.0"/>
        <w:spacing w:after="0" w:line="240" w:lineRule="auto"/>
        <w:jc w:val="both"/>
      </w:pPr>
    </w:p>
    <w:p>
      <w:pPr>
        <w:pStyle w:val="Normal.0"/>
        <w:spacing w:after="0" w:line="240" w:lineRule="auto"/>
        <w:ind w:firstLine="851"/>
        <w:jc w:val="both"/>
      </w:pPr>
      <w:r>
        <w:rPr>
          <w:rtl w:val="0"/>
        </w:rPr>
        <w:t>ț</w:t>
      </w:r>
      <w:r>
        <w:rPr>
          <w:rtl w:val="0"/>
        </w:rPr>
        <w:t>in</w:t>
      </w:r>
      <w:r>
        <w:rPr>
          <w:rtl w:val="0"/>
        </w:rPr>
        <w:t>â</w:t>
      </w:r>
      <w:r>
        <w:rPr>
          <w:rtl w:val="0"/>
        </w:rPr>
        <w:t xml:space="preserve">nd seama de prevederile art. 80 </w:t>
      </w:r>
      <w:r>
        <w:rPr>
          <w:rtl w:val="0"/>
        </w:rPr>
        <w:t xml:space="preserve">– </w:t>
      </w:r>
      <w:r>
        <w:rPr>
          <w:rtl w:val="0"/>
        </w:rPr>
        <w:t xml:space="preserve">84 din </w:t>
      </w:r>
      <w:r>
        <w:rPr>
          <w:i w:val="1"/>
          <w:iCs w:val="1"/>
          <w:rtl w:val="0"/>
        </w:rPr>
        <w:t>Legea nr. 24/2000 privind normele de tehnic</w:t>
      </w:r>
      <w:r>
        <w:rPr>
          <w:i w:val="1"/>
          <w:iCs w:val="1"/>
          <w:rtl w:val="0"/>
        </w:rPr>
        <w:t xml:space="preserve">ă </w:t>
      </w:r>
      <w:r>
        <w:rPr>
          <w:i w:val="1"/>
          <w:iCs w:val="1"/>
          <w:rtl w:val="0"/>
        </w:rPr>
        <w:t>legislativ</w:t>
      </w:r>
      <w:r>
        <w:rPr>
          <w:i w:val="1"/>
          <w:iCs w:val="1"/>
          <w:rtl w:val="0"/>
        </w:rPr>
        <w:t xml:space="preserve">ă </w:t>
      </w:r>
      <w:r>
        <w:rPr>
          <w:i w:val="1"/>
          <w:iCs w:val="1"/>
          <w:rtl w:val="0"/>
        </w:rPr>
        <w:t>pentru elaborarea actelor normative</w:t>
      </w:r>
      <w:r>
        <w:rPr>
          <w:rtl w:val="0"/>
        </w:rPr>
        <w:t>, republicat</w:t>
      </w:r>
      <w:r>
        <w:rPr>
          <w:rtl w:val="0"/>
        </w:rPr>
        <w:t>ă</w:t>
      </w:r>
      <w:r>
        <w:rPr>
          <w:rtl w:val="0"/>
        </w:rPr>
        <w:t>, cu modific</w:t>
      </w:r>
      <w:r>
        <w:rPr>
          <w:rtl w:val="0"/>
        </w:rPr>
        <w:t>ă</w:t>
      </w:r>
      <w:r>
        <w:rPr>
          <w:rtl w:val="0"/>
        </w:rPr>
        <w:t xml:space="preserve">rile </w:t>
      </w:r>
      <w:r>
        <w:rPr>
          <w:rtl w:val="0"/>
        </w:rPr>
        <w:t>ș</w:t>
      </w:r>
      <w:r>
        <w:rPr>
          <w:rtl w:val="0"/>
        </w:rPr>
        <w:t>i complet</w:t>
      </w:r>
      <w:r>
        <w:rPr>
          <w:rtl w:val="0"/>
        </w:rPr>
        <w:t>ă</w:t>
      </w:r>
      <w:r>
        <w:rPr>
          <w:rtl w:val="0"/>
        </w:rPr>
        <w:t xml:space="preserve">rile ulterioare, precum </w:t>
      </w:r>
      <w:r>
        <w:rPr>
          <w:rtl w:val="0"/>
        </w:rPr>
        <w:t>ș</w:t>
      </w:r>
      <w:r>
        <w:rPr>
          <w:rtl w:val="0"/>
        </w:rPr>
        <w:t xml:space="preserve">i de cele ale </w:t>
      </w:r>
      <w:r>
        <w:rPr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Regulamentului cuprinz</w:t>
      </w:r>
      <w:r>
        <w:rPr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â</w:t>
      </w:r>
      <w:r>
        <w:rPr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nd m</w:t>
      </w:r>
      <w:r>
        <w:rPr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ă</w:t>
      </w:r>
      <w:r>
        <w:rPr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surile metodologice, organizatorice, </w:t>
      </w:r>
    </w:p>
    <w:p>
      <w:pPr>
        <w:pStyle w:val="Normal.0"/>
        <w:tabs>
          <w:tab w:val="left" w:pos="1134"/>
        </w:tabs>
        <w:spacing w:after="0" w:line="240" w:lineRule="auto"/>
        <w:ind w:firstLine="851"/>
        <w:jc w:val="both"/>
      </w:pPr>
      <w:r>
        <w:rPr>
          <w:rtl w:val="0"/>
        </w:rPr>
        <w:t>lu</w:t>
      </w:r>
      <w:r>
        <w:rPr>
          <w:rtl w:val="0"/>
        </w:rPr>
        <w:t>â</w:t>
      </w:r>
      <w:r>
        <w:rPr>
          <w:rtl w:val="0"/>
        </w:rPr>
        <w:t>nd act de faptul c</w:t>
      </w:r>
      <w:r>
        <w:rPr>
          <w:rtl w:val="0"/>
        </w:rPr>
        <w:t xml:space="preserve">ă </w:t>
      </w:r>
      <w:r>
        <w:rPr>
          <w:rtl w:val="0"/>
        </w:rPr>
        <w:t>proiectul acestei dispozi</w:t>
      </w:r>
      <w:r>
        <w:rPr>
          <w:rtl w:val="0"/>
        </w:rPr>
        <w:t>ț</w:t>
      </w:r>
      <w:r>
        <w:rPr>
          <w:rtl w:val="0"/>
        </w:rPr>
        <w:t xml:space="preserve">ii a fost </w:t>
      </w:r>
      <w:r>
        <w:rPr>
          <w:rtl w:val="0"/>
        </w:rPr>
        <w:t>î</w:t>
      </w:r>
      <w:r>
        <w:rPr>
          <w:rtl w:val="0"/>
        </w:rPr>
        <w:t xml:space="preserve">nregistrat </w:t>
      </w:r>
      <w:r>
        <w:rPr>
          <w:rtl w:val="0"/>
        </w:rPr>
        <w:t>î</w:t>
      </w:r>
      <w:r>
        <w:rPr>
          <w:rtl w:val="0"/>
        </w:rPr>
        <w:t>n</w:t>
      </w:r>
      <w:r>
        <w:rPr>
          <w:i w:val="1"/>
          <w:iCs w:val="1"/>
          <w:rtl w:val="0"/>
        </w:rPr>
        <w:t xml:space="preserve"> Registrul pentru eviden</w:t>
      </w:r>
      <w:r>
        <w:rPr>
          <w:i w:val="1"/>
          <w:iCs w:val="1"/>
          <w:rtl w:val="0"/>
        </w:rPr>
        <w:t>ț</w:t>
      </w:r>
      <w:r>
        <w:rPr>
          <w:i w:val="1"/>
          <w:iCs w:val="1"/>
          <w:rtl w:val="0"/>
        </w:rPr>
        <w:t>a proiectelor de dispozi</w:t>
      </w:r>
      <w:r>
        <w:rPr>
          <w:i w:val="1"/>
          <w:iCs w:val="1"/>
          <w:rtl w:val="0"/>
        </w:rPr>
        <w:t>ț</w:t>
      </w:r>
      <w:r>
        <w:rPr>
          <w:i w:val="1"/>
          <w:iCs w:val="1"/>
          <w:rtl w:val="0"/>
        </w:rPr>
        <w:t>ii ale autorit</w:t>
      </w:r>
      <w:r>
        <w:rPr>
          <w:i w:val="1"/>
          <w:iCs w:val="1"/>
          <w:rtl w:val="0"/>
        </w:rPr>
        <w:t>ăț</w:t>
      </w:r>
      <w:r>
        <w:rPr>
          <w:i w:val="1"/>
          <w:iCs w:val="1"/>
          <w:rtl w:val="0"/>
        </w:rPr>
        <w:t>ii executive</w:t>
      </w:r>
      <w:r>
        <w:rPr>
          <w:rtl w:val="0"/>
        </w:rPr>
        <w:t>,</w:t>
      </w:r>
    </w:p>
    <w:p>
      <w:pPr>
        <w:pStyle w:val="Listă paragraf"/>
        <w:tabs>
          <w:tab w:val="left" w:pos="1276"/>
        </w:tabs>
        <w:spacing w:after="0" w:line="240" w:lineRule="auto"/>
        <w:ind w:left="851" w:firstLine="0"/>
        <w:jc w:val="both"/>
      </w:pPr>
    </w:p>
    <w:p>
      <w:pPr>
        <w:pStyle w:val="Normal.0"/>
        <w:spacing w:after="0" w:line="240" w:lineRule="auto"/>
        <w:ind w:firstLine="851"/>
        <w:jc w:val="both"/>
      </w:pPr>
      <w:r>
        <w:rPr>
          <w:rtl w:val="0"/>
        </w:rPr>
        <w:t>constat</w:t>
      </w:r>
      <w:r>
        <w:rPr>
          <w:rtl w:val="0"/>
        </w:rPr>
        <w:t>â</w:t>
      </w:r>
      <w:r>
        <w:rPr>
          <w:rtl w:val="0"/>
        </w:rPr>
        <w:t>nd c</w:t>
      </w:r>
      <w:r>
        <w:rPr>
          <w:rtl w:val="0"/>
        </w:rPr>
        <w:t xml:space="preserve">ă </w:t>
      </w:r>
      <w:r>
        <w:rPr>
          <w:rtl w:val="0"/>
        </w:rPr>
        <w:t xml:space="preserve">sunt </w:t>
      </w:r>
      <w:r>
        <w:rPr>
          <w:rtl w:val="0"/>
        </w:rPr>
        <w:t>î</w:t>
      </w:r>
      <w:r>
        <w:rPr>
          <w:rtl w:val="0"/>
        </w:rPr>
        <w:t>ndeplinite condi</w:t>
      </w:r>
      <w:r>
        <w:rPr>
          <w:rtl w:val="0"/>
        </w:rPr>
        <w:t>ț</w:t>
      </w:r>
      <w:r>
        <w:rPr>
          <w:rtl w:val="0"/>
        </w:rPr>
        <w:t xml:space="preserve">iile legale pentru </w:t>
      </w:r>
      <w:r>
        <w:rPr>
          <w:rtl w:val="0"/>
        </w:rPr>
        <w:t>î</w:t>
      </w:r>
      <w:r>
        <w:rPr>
          <w:rtl w:val="0"/>
        </w:rPr>
        <w:t>ncetarea acord</w:t>
      </w:r>
      <w:r>
        <w:rPr>
          <w:rtl w:val="0"/>
        </w:rPr>
        <w:t>ă</w:t>
      </w:r>
      <w:r>
        <w:rPr>
          <w:rtl w:val="0"/>
        </w:rPr>
        <w:t xml:space="preserve">rii venitului minim de incluziune, </w:t>
      </w:r>
    </w:p>
    <w:p>
      <w:pPr>
        <w:pStyle w:val="Normal.0"/>
        <w:spacing w:after="0" w:line="240" w:lineRule="auto"/>
        <w:ind w:firstLine="851"/>
        <w:jc w:val="both"/>
      </w:pPr>
      <w:r>
        <w:rPr>
          <w:rtl w:val="0"/>
        </w:rPr>
        <w:t>î</w:t>
      </w:r>
      <w:r>
        <w:rPr>
          <w:rtl w:val="0"/>
        </w:rPr>
        <w:t>n temeiul prevederilor art. 196 alin. (1) lit. b) din Ordonan</w:t>
      </w:r>
      <w:r>
        <w:rPr>
          <w:rtl w:val="0"/>
        </w:rPr>
        <w:t>ț</w:t>
      </w:r>
      <w:r>
        <w:rPr>
          <w:rtl w:val="0"/>
        </w:rPr>
        <w:t>a de urgen</w:t>
      </w:r>
      <w:r>
        <w:rPr>
          <w:rtl w:val="0"/>
        </w:rPr>
        <w:t xml:space="preserve">ță </w:t>
      </w:r>
      <w:r>
        <w:rPr>
          <w:rtl w:val="0"/>
        </w:rPr>
        <w:t>a Guvernului nr. 57/2019 privind Codul administrativ, cu modific</w:t>
      </w:r>
      <w:r>
        <w:rPr>
          <w:rtl w:val="0"/>
        </w:rPr>
        <w:t>ă</w:t>
      </w:r>
      <w:r>
        <w:rPr>
          <w:rtl w:val="0"/>
        </w:rPr>
        <w:t xml:space="preserve">rile </w:t>
      </w:r>
      <w:r>
        <w:rPr>
          <w:rtl w:val="0"/>
        </w:rPr>
        <w:t>ș</w:t>
      </w:r>
      <w:r>
        <w:rPr>
          <w:rtl w:val="0"/>
        </w:rPr>
        <w:t>i complet</w:t>
      </w:r>
      <w:r>
        <w:rPr>
          <w:rtl w:val="0"/>
        </w:rPr>
        <w:t>ă</w:t>
      </w:r>
      <w:r>
        <w:rPr>
          <w:rtl w:val="0"/>
        </w:rPr>
        <w:t>rile ulterioare,</w:t>
      </w: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left="4105" w:firstLine="851"/>
        <w:jc w:val="both"/>
        <w:rPr>
          <w:b w:val="1"/>
          <w:bCs w:val="1"/>
        </w:rPr>
      </w:pPr>
      <w:r>
        <w:rPr>
          <w:rtl w:val="0"/>
        </w:rPr>
        <w:t xml:space="preserve">DISPUNE </w:t>
      </w:r>
    </w:p>
    <w:p>
      <w:pPr>
        <w:pStyle w:val="Normal.0"/>
        <w:spacing w:after="0" w:line="240" w:lineRule="auto"/>
        <w:ind w:firstLine="851"/>
        <w:jc w:val="both"/>
        <w:rPr>
          <w:b w:val="1"/>
          <w:bCs w:val="1"/>
        </w:rPr>
      </w:pPr>
    </w:p>
    <w:p>
      <w:pPr>
        <w:pStyle w:val="Normal.0"/>
        <w:spacing w:after="0" w:line="240" w:lineRule="auto"/>
        <w:ind w:firstLine="851"/>
        <w:jc w:val="both"/>
        <w:rPr>
          <w:b w:val="1"/>
          <w:bCs w:val="1"/>
        </w:rPr>
      </w:pPr>
      <w:r>
        <w:rPr>
          <w:b w:val="1"/>
          <w:bCs w:val="1"/>
          <w:rtl w:val="0"/>
        </w:rPr>
        <w:t xml:space="preserve"> </w:t>
      </w:r>
      <w:bookmarkEnd w:id="1"/>
    </w:p>
    <w:p>
      <w:pPr>
        <w:pStyle w:val="Normal.0"/>
        <w:tabs>
          <w:tab w:val="left" w:pos="1276"/>
        </w:tabs>
        <w:spacing w:after="0" w:line="240" w:lineRule="auto"/>
        <w:ind w:firstLine="851"/>
        <w:jc w:val="both"/>
      </w:pPr>
      <w:bookmarkStart w:name="ref2523A1" w:id="2"/>
      <w:bookmarkEnd w:id="2"/>
      <w:r>
        <w:rPr>
          <w:rtl w:val="0"/>
        </w:rPr>
        <w:t>A</w:t>
      </w:r>
      <w:bookmarkStart w:name="tree252368" w:id="3"/>
      <w:r>
        <w:rPr>
          <w:rtl w:val="0"/>
        </w:rPr>
        <w:t xml:space="preserve">rt. 1. </w:t>
      </w:r>
      <w:r>
        <w:rPr>
          <w:rtl w:val="0"/>
        </w:rPr>
        <w:t>– Î</w:t>
      </w:r>
      <w:r>
        <w:rPr>
          <w:rtl w:val="0"/>
        </w:rPr>
        <w:t>ncep</w:t>
      </w:r>
      <w:r>
        <w:rPr>
          <w:rtl w:val="0"/>
        </w:rPr>
        <w:t>â</w:t>
      </w:r>
      <w:r>
        <w:rPr>
          <w:rtl w:val="0"/>
        </w:rPr>
        <w:t xml:space="preserve">nd cu data de </w:t>
      </w:r>
      <w:r>
        <w:rPr>
          <w:b w:val="1"/>
          <w:bCs w:val="1"/>
          <w:rtl w:val="0"/>
        </w:rPr>
        <w:t>01.09.2025</w:t>
      </w:r>
      <w:r>
        <w:rPr>
          <w:rtl w:val="0"/>
        </w:rPr>
        <w:t xml:space="preserve"> î</w:t>
      </w:r>
      <w:r>
        <w:rPr>
          <w:rtl w:val="0"/>
        </w:rPr>
        <w:t>nceteaz</w:t>
      </w:r>
      <w:r>
        <w:rPr>
          <w:rtl w:val="0"/>
        </w:rPr>
        <w:t xml:space="preserve">ă </w:t>
      </w:r>
      <w:r>
        <w:rPr>
          <w:rtl w:val="0"/>
        </w:rPr>
        <w:t>prelungirea acordarii venitului minim de incluziune (stimulentului) , acordat prin Dispozi</w:t>
      </w:r>
      <w:r>
        <w:rPr>
          <w:rtl w:val="0"/>
        </w:rPr>
        <w:t>ț</w:t>
      </w:r>
      <w:r>
        <w:rPr>
          <w:rtl w:val="0"/>
        </w:rPr>
        <w:t xml:space="preserve">ia primarului  </w:t>
      </w:r>
      <w:r>
        <w:rPr>
          <w:b w:val="1"/>
          <w:bCs w:val="1"/>
          <w:rtl w:val="0"/>
        </w:rPr>
        <w:t>nr.50/25.04.2025</w:t>
      </w:r>
      <w:r>
        <w:rPr>
          <w:rtl w:val="0"/>
        </w:rPr>
        <w:t xml:space="preserve">  î</w:t>
      </w:r>
      <w:r>
        <w:rPr>
          <w:rtl w:val="0"/>
        </w:rPr>
        <w:t xml:space="preserve">n cuantum de  732 lei </w:t>
      </w:r>
      <w:r>
        <w:rPr>
          <w:rtl w:val="0"/>
        </w:rPr>
        <w:t xml:space="preserve">– </w:t>
      </w:r>
      <w:r>
        <w:rPr>
          <w:rtl w:val="0"/>
        </w:rPr>
        <w:t xml:space="preserve">ajutor  de  incluziune si 143 lei </w:t>
      </w:r>
      <w:r>
        <w:rPr>
          <w:rtl w:val="0"/>
        </w:rPr>
        <w:t xml:space="preserve">– </w:t>
      </w:r>
      <w:r>
        <w:rPr>
          <w:rtl w:val="0"/>
        </w:rPr>
        <w:t xml:space="preserve">ajutor pentru familia cu copii,  pentru domnul Nicolcea Ionel </w:t>
      </w:r>
      <w:r>
        <w:rPr>
          <w:rtl w:val="0"/>
        </w:rPr>
        <w:t>î</w:t>
      </w:r>
      <w:r>
        <w:rPr>
          <w:rtl w:val="0"/>
        </w:rPr>
        <w:t>n calitate de titular, cu domiciliul/re</w:t>
      </w:r>
      <w:r>
        <w:rPr>
          <w:rtl w:val="0"/>
        </w:rPr>
        <w:t>ș</w:t>
      </w:r>
      <w:r>
        <w:rPr>
          <w:rtl w:val="0"/>
        </w:rPr>
        <w:t>edin</w:t>
      </w:r>
      <w:r>
        <w:rPr>
          <w:rtl w:val="0"/>
        </w:rPr>
        <w:t>ț</w:t>
      </w:r>
      <w:r>
        <w:rPr>
          <w:rtl w:val="0"/>
        </w:rPr>
        <w:t>a la adresa Nadrag str. Tineretului, nr.29,  jud.Timis CNP,</w:t>
      </w:r>
      <w:bookmarkEnd w:id="3"/>
    </w:p>
    <w:p>
      <w:pPr>
        <w:pStyle w:val="Normal.0"/>
        <w:tabs>
          <w:tab w:val="left" w:pos="1276"/>
        </w:tabs>
        <w:spacing w:after="0" w:line="240" w:lineRule="auto"/>
        <w:jc w:val="both"/>
      </w:pPr>
      <w:bookmarkStart w:name="ref2523A2" w:id="4"/>
      <w:bookmarkEnd w:id="4"/>
    </w:p>
    <w:p>
      <w:pPr>
        <w:pStyle w:val="Normal.0"/>
        <w:tabs>
          <w:tab w:val="left" w:pos="1276"/>
        </w:tabs>
        <w:spacing w:after="0" w:line="240" w:lineRule="auto"/>
        <w:ind w:firstLine="851"/>
        <w:jc w:val="both"/>
      </w:pPr>
      <w:bookmarkStart w:name="tree252370" w:id="5"/>
      <w:r>
        <w:rPr>
          <w:rtl w:val="0"/>
        </w:rPr>
        <w:t xml:space="preserve">Art. 2. </w:t>
      </w:r>
      <w:bookmarkEnd w:id="5"/>
      <w:r>
        <w:rPr>
          <w:rtl w:val="0"/>
        </w:rPr>
        <w:t>–</w:t>
      </w:r>
      <w:bookmarkStart w:name="tree252373" w:id="6"/>
      <w:r>
        <w:rPr>
          <w:rtl w:val="0"/>
        </w:rPr>
        <w:t xml:space="preserve"> </w:t>
      </w:r>
      <w:bookmarkEnd w:id="6"/>
      <w:bookmarkStart w:name="ref2523A4" w:id="7"/>
      <w:bookmarkEnd w:id="7"/>
      <w:r>
        <w:rPr>
          <w:rtl w:val="0"/>
        </w:rPr>
        <w:t>M</w:t>
      </w:r>
      <w:bookmarkStart w:name="tree252374" w:id="8"/>
      <w:r>
        <w:rPr>
          <w:rtl w:val="0"/>
        </w:rPr>
        <w:t xml:space="preserve">otivul pentru care </w:t>
      </w:r>
      <w:r>
        <w:rPr>
          <w:rtl w:val="0"/>
        </w:rPr>
        <w:t>î</w:t>
      </w:r>
      <w:r>
        <w:rPr>
          <w:rtl w:val="0"/>
        </w:rPr>
        <w:t>nceteaz</w:t>
      </w:r>
      <w:r>
        <w:rPr>
          <w:rtl w:val="0"/>
        </w:rPr>
        <w:t xml:space="preserve">ă </w:t>
      </w:r>
      <w:r>
        <w:rPr>
          <w:rtl w:val="0"/>
        </w:rPr>
        <w:t>dreptul este  urm</w:t>
      </w:r>
      <w:r>
        <w:rPr>
          <w:rtl w:val="0"/>
        </w:rPr>
        <w:t>ă</w:t>
      </w:r>
      <w:r>
        <w:rPr>
          <w:rtl w:val="0"/>
        </w:rPr>
        <w:t>torul:</w:t>
      </w:r>
    </w:p>
    <w:p>
      <w:pPr>
        <w:pStyle w:val="Normal.0"/>
        <w:tabs>
          <w:tab w:val="left" w:pos="1276"/>
        </w:tabs>
        <w:spacing w:after="0" w:line="240" w:lineRule="auto"/>
        <w:jc w:val="both"/>
      </w:pPr>
      <w:r>
        <w:rPr>
          <w:rtl w:val="0"/>
        </w:rPr>
        <w:tab/>
        <w:t xml:space="preserve"> -     a expirat perioada de 6 luni a acordarii stimulentului;</w:t>
      </w:r>
    </w:p>
    <w:p>
      <w:pPr>
        <w:pStyle w:val="Normal.0"/>
        <w:tabs>
          <w:tab w:val="left" w:pos="1276"/>
        </w:tabs>
        <w:spacing w:after="0" w:line="240" w:lineRule="auto"/>
        <w:jc w:val="both"/>
      </w:pPr>
    </w:p>
    <w:p>
      <w:pPr>
        <w:pStyle w:val="Normal.0"/>
        <w:spacing w:after="0" w:line="240" w:lineRule="auto"/>
        <w:ind w:firstLine="851"/>
        <w:jc w:val="both"/>
      </w:pPr>
      <w:r>
        <w:rPr>
          <w:rtl w:val="0"/>
        </w:rPr>
        <w:t xml:space="preserve">Art. 3. </w:t>
      </w:r>
      <w:r>
        <w:rPr>
          <w:rtl w:val="0"/>
        </w:rPr>
        <w:t xml:space="preserve">– </w:t>
      </w:r>
      <w:r>
        <w:rPr>
          <w:rtl w:val="0"/>
        </w:rPr>
        <w:t xml:space="preserve">Cu ducerea la </w:t>
      </w:r>
      <w:r>
        <w:rPr>
          <w:rtl w:val="0"/>
        </w:rPr>
        <w:t>î</w:t>
      </w:r>
      <w:r>
        <w:rPr>
          <w:rtl w:val="0"/>
        </w:rPr>
        <w:t>ndeplinire a prezentei dispozi</w:t>
      </w:r>
      <w:r>
        <w:rPr>
          <w:rtl w:val="0"/>
        </w:rPr>
        <w:t>ț</w:t>
      </w:r>
      <w:r>
        <w:rPr>
          <w:rtl w:val="0"/>
        </w:rPr>
        <w:t>ii se oblig</w:t>
      </w:r>
      <w:r>
        <w:rPr>
          <w:rtl w:val="0"/>
        </w:rPr>
        <w:t xml:space="preserve">ă </w:t>
      </w:r>
      <w:r>
        <w:rPr>
          <w:rtl w:val="0"/>
        </w:rPr>
        <w:t>compartimentele de resort din aparatul de specialitate cu atribu</w:t>
      </w:r>
      <w:r>
        <w:rPr>
          <w:rtl w:val="0"/>
        </w:rPr>
        <w:t>ț</w:t>
      </w:r>
      <w:r>
        <w:rPr>
          <w:rtl w:val="0"/>
        </w:rPr>
        <w:t xml:space="preserve">ii </w:t>
      </w:r>
      <w:r>
        <w:rPr>
          <w:rtl w:val="0"/>
        </w:rPr>
        <w:t>î</w:t>
      </w:r>
      <w:r>
        <w:rPr>
          <w:rtl w:val="0"/>
        </w:rPr>
        <w:t xml:space="preserve">n acest sens, </w:t>
      </w: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  <w:r>
        <w:rPr>
          <w:rtl w:val="0"/>
        </w:rPr>
        <w:t xml:space="preserve">Art. 4. </w:t>
      </w:r>
      <w:r>
        <w:rPr>
          <w:rtl w:val="0"/>
        </w:rPr>
        <w:t xml:space="preserve">– </w:t>
      </w:r>
      <w:r>
        <w:rPr>
          <w:rtl w:val="0"/>
        </w:rPr>
        <w:t>Prezenta dispozi</w:t>
      </w:r>
      <w:r>
        <w:rPr>
          <w:rtl w:val="0"/>
        </w:rPr>
        <w:t>ț</w:t>
      </w:r>
      <w:r>
        <w:rPr>
          <w:rtl w:val="0"/>
        </w:rPr>
        <w:t>ie, cu caracter individual, poate fi atacat</w:t>
      </w:r>
      <w:r>
        <w:rPr>
          <w:rtl w:val="0"/>
        </w:rPr>
        <w:t xml:space="preserve">ă </w:t>
      </w:r>
      <w:r>
        <w:rPr>
          <w:rtl w:val="0"/>
        </w:rPr>
        <w:t>potrivit prevederilor Legii contenciosului administrativ nr. 554/2004, cu modific</w:t>
      </w:r>
      <w:r>
        <w:rPr>
          <w:rtl w:val="0"/>
        </w:rPr>
        <w:t>ă</w:t>
      </w:r>
      <w:r>
        <w:rPr>
          <w:rtl w:val="0"/>
        </w:rPr>
        <w:t xml:space="preserve">rile </w:t>
      </w:r>
      <w:r>
        <w:rPr>
          <w:rtl w:val="0"/>
        </w:rPr>
        <w:t>ș</w:t>
      </w:r>
      <w:r>
        <w:rPr>
          <w:rtl w:val="0"/>
        </w:rPr>
        <w:t>i complet</w:t>
      </w:r>
      <w:r>
        <w:rPr>
          <w:rtl w:val="0"/>
        </w:rPr>
        <w:t>ă</w:t>
      </w:r>
      <w:r>
        <w:rPr>
          <w:rtl w:val="0"/>
        </w:rPr>
        <w:t>rile ulterioare.</w:t>
      </w:r>
    </w:p>
    <w:p>
      <w:pPr>
        <w:pStyle w:val="Normal.0"/>
        <w:spacing w:after="0" w:line="240" w:lineRule="auto"/>
        <w:ind w:firstLine="851"/>
        <w:jc w:val="both"/>
      </w:pPr>
      <w:bookmarkEnd w:id="8"/>
    </w:p>
    <w:p>
      <w:pPr>
        <w:pStyle w:val="Normal.0"/>
        <w:tabs>
          <w:tab w:val="left" w:pos="1134"/>
        </w:tabs>
        <w:spacing w:after="0" w:line="240" w:lineRule="auto"/>
        <w:ind w:firstLine="851"/>
        <w:jc w:val="both"/>
      </w:pPr>
      <w:bookmarkStart w:name="ref2523A5" w:id="9"/>
      <w:bookmarkEnd w:id="9"/>
      <w:r>
        <w:rPr>
          <w:rtl w:val="0"/>
        </w:rPr>
        <w:t>A</w:t>
      </w:r>
      <w:bookmarkStart w:name="tree252375" w:id="10"/>
      <w:r>
        <w:rPr>
          <w:rtl w:val="0"/>
        </w:rPr>
        <w:t xml:space="preserve">rt. 5. </w:t>
      </w:r>
      <w:r>
        <w:rPr>
          <w:rtl w:val="0"/>
        </w:rPr>
        <w:t xml:space="preserve">– </w:t>
      </w:r>
      <w:r>
        <w:rPr>
          <w:rtl w:val="0"/>
        </w:rPr>
        <w:t>Prezenta dispozi</w:t>
      </w:r>
      <w:r>
        <w:rPr>
          <w:rtl w:val="0"/>
        </w:rPr>
        <w:t>ț</w:t>
      </w:r>
      <w:r>
        <w:rPr>
          <w:rtl w:val="0"/>
        </w:rPr>
        <w:t xml:space="preserve">ie, prin grija secretarului general al comunei Nadrag </w:t>
      </w:r>
      <w:r>
        <w:rPr>
          <w:rtl w:val="0"/>
        </w:rPr>
        <w:t>î</w:t>
      </w:r>
      <w:r>
        <w:rPr>
          <w:rtl w:val="0"/>
        </w:rPr>
        <w:t>n termenul prev</w:t>
      </w:r>
      <w:r>
        <w:rPr>
          <w:rtl w:val="0"/>
        </w:rPr>
        <w:t>ă</w:t>
      </w:r>
      <w:r>
        <w:rPr>
          <w:rtl w:val="0"/>
        </w:rPr>
        <w:t>zut de lege:</w:t>
      </w:r>
    </w:p>
    <w:p>
      <w:pPr>
        <w:pStyle w:val="Normal.0"/>
        <w:tabs>
          <w:tab w:val="left" w:pos="1134"/>
        </w:tabs>
        <w:spacing w:after="0" w:line="240" w:lineRule="auto"/>
        <w:ind w:firstLine="851"/>
        <w:jc w:val="both"/>
      </w:pPr>
    </w:p>
    <w:p>
      <w:pPr>
        <w:pStyle w:val="Normal.0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rtl w:val="0"/>
        </w:rPr>
      </w:pPr>
      <w:r>
        <w:rPr>
          <w:rtl w:val="0"/>
        </w:rPr>
        <w:t xml:space="preserve">se </w:t>
      </w:r>
      <w:r>
        <w:rPr>
          <w:rtl w:val="0"/>
        </w:rPr>
        <w:t>î</w:t>
      </w:r>
      <w:r>
        <w:rPr>
          <w:rtl w:val="0"/>
        </w:rPr>
        <w:t>nregistreaz</w:t>
      </w:r>
      <w:r>
        <w:rPr>
          <w:rtl w:val="0"/>
        </w:rPr>
        <w:t>ă î</w:t>
      </w:r>
      <w:r>
        <w:rPr>
          <w:rtl w:val="0"/>
        </w:rPr>
        <w:t xml:space="preserve">n </w:t>
      </w:r>
      <w:r>
        <w:rPr>
          <w:i w:val="1"/>
          <w:iCs w:val="1"/>
          <w:rtl w:val="0"/>
        </w:rPr>
        <w:t>Registrul pentru eviden</w:t>
      </w:r>
      <w:r>
        <w:rPr>
          <w:i w:val="1"/>
          <w:iCs w:val="1"/>
          <w:rtl w:val="0"/>
        </w:rPr>
        <w:t>ț</w:t>
      </w:r>
      <w:r>
        <w:rPr>
          <w:i w:val="1"/>
          <w:iCs w:val="1"/>
          <w:rtl w:val="0"/>
        </w:rPr>
        <w:t>a dispozi</w:t>
      </w:r>
      <w:r>
        <w:rPr>
          <w:i w:val="1"/>
          <w:iCs w:val="1"/>
          <w:rtl w:val="0"/>
        </w:rPr>
        <w:t>ț</w:t>
      </w:r>
      <w:r>
        <w:rPr>
          <w:i w:val="1"/>
          <w:iCs w:val="1"/>
          <w:rtl w:val="0"/>
        </w:rPr>
        <w:t>iilor autorit</w:t>
      </w:r>
      <w:r>
        <w:rPr>
          <w:i w:val="1"/>
          <w:iCs w:val="1"/>
          <w:rtl w:val="0"/>
        </w:rPr>
        <w:t>ăț</w:t>
      </w:r>
      <w:r>
        <w:rPr>
          <w:i w:val="1"/>
          <w:iCs w:val="1"/>
          <w:rtl w:val="0"/>
        </w:rPr>
        <w:t>ii executive</w:t>
      </w:r>
      <w:r>
        <w:rPr>
          <w:rtl w:val="0"/>
        </w:rPr>
        <w:t>;</w:t>
      </w:r>
    </w:p>
    <w:p>
      <w:pPr>
        <w:pStyle w:val="Normal.0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rtl w:val="0"/>
        </w:rPr>
      </w:pPr>
      <w:r>
        <w:rPr>
          <w:rtl w:val="0"/>
        </w:rPr>
        <w:t>se comunic</w:t>
      </w:r>
      <w:r>
        <w:rPr>
          <w:rtl w:val="0"/>
        </w:rPr>
        <w:t xml:space="preserve">ă </w:t>
      </w:r>
      <w:r>
        <w:rPr>
          <w:rtl w:val="0"/>
        </w:rPr>
        <w:t>prefectului jude</w:t>
      </w:r>
      <w:r>
        <w:rPr>
          <w:rtl w:val="0"/>
        </w:rPr>
        <w:t>ț</w:t>
      </w:r>
      <w:r>
        <w:rPr>
          <w:rtl w:val="0"/>
        </w:rPr>
        <w:t>ului Timis;</w:t>
      </w:r>
    </w:p>
    <w:p>
      <w:pPr>
        <w:pStyle w:val="Normal.0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rtl w:val="0"/>
        </w:rPr>
      </w:pPr>
      <w:r>
        <w:rPr>
          <w:rtl w:val="0"/>
        </w:rPr>
        <w:t>se comunic</w:t>
      </w:r>
      <w:r>
        <w:rPr>
          <w:rtl w:val="0"/>
        </w:rPr>
        <w:t xml:space="preserve">ă </w:t>
      </w:r>
      <w:r>
        <w:rPr>
          <w:rtl w:val="0"/>
        </w:rPr>
        <w:t>titularului prev</w:t>
      </w:r>
      <w:r>
        <w:rPr>
          <w:rtl w:val="0"/>
        </w:rPr>
        <w:t>ă</w:t>
      </w:r>
      <w:r>
        <w:rPr>
          <w:rtl w:val="0"/>
        </w:rPr>
        <w:t xml:space="preserve">zut la art. 1 </w:t>
      </w:r>
      <w:r>
        <w:rPr>
          <w:rtl w:val="0"/>
        </w:rPr>
        <w:t>î</w:t>
      </w:r>
      <w:r>
        <w:rPr>
          <w:rtl w:val="0"/>
        </w:rPr>
        <w:t>n termen de cel mult 5 zile de la data comunic</w:t>
      </w:r>
      <w:r>
        <w:rPr>
          <w:rtl w:val="0"/>
        </w:rPr>
        <w:t>ă</w:t>
      </w:r>
      <w:r>
        <w:rPr>
          <w:rtl w:val="0"/>
        </w:rPr>
        <w:t>rii oficiale c</w:t>
      </w:r>
      <w:r>
        <w:rPr>
          <w:rtl w:val="0"/>
        </w:rPr>
        <w:t>ă</w:t>
      </w:r>
      <w:r>
        <w:rPr>
          <w:rtl w:val="0"/>
        </w:rPr>
        <w:t>tre prefect;</w:t>
      </w: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  <w:r>
        <w:rPr>
          <w:rtl w:val="0"/>
        </w:rPr>
        <w:tab/>
        <w:tab/>
        <w:tab/>
        <w:tab/>
        <w:tab/>
        <w:tab/>
        <w:tab/>
        <w:tab/>
        <w:t>PRIMAR</w:t>
        <w:tab/>
        <w:tab/>
        <w:tab/>
        <w:tab/>
        <w:tab/>
        <w:tab/>
        <w:tab/>
        <w:tab/>
        <w:tab/>
        <w:tab/>
        <w:tab/>
        <w:tab/>
        <w:t>MUNTEAN  LIVIU</w:t>
      </w:r>
      <w:bookmarkEnd w:id="10"/>
    </w:p>
    <w:p>
      <w:pPr>
        <w:pStyle w:val="Normal.0"/>
        <w:spacing w:after="0" w:line="240" w:lineRule="auto"/>
        <w:ind w:firstLine="851"/>
        <w:jc w:val="both"/>
      </w:pPr>
      <w:r>
        <w:rPr>
          <w:rtl w:val="0"/>
        </w:rPr>
        <w:t>AVIZAT SECRETAR GENERAL</w:t>
      </w:r>
    </w:p>
    <w:p>
      <w:pPr>
        <w:pStyle w:val="Normal.0"/>
        <w:spacing w:after="0" w:line="240" w:lineRule="auto"/>
        <w:ind w:firstLine="851"/>
        <w:jc w:val="both"/>
      </w:pPr>
      <w:r>
        <w:rPr>
          <w:rtl w:val="0"/>
        </w:rPr>
        <w:t>WAGNER DAN ANTONIU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360" w:right="796" w:bottom="568" w:left="1417" w:header="708" w:footer="708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ubsol"/>
      <w:jc w:val="center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Dreptunghi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7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6" name="officeArt object" descr="Dreptunghi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8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 importat 2"/>
  </w:abstractNum>
  <w:abstractNum w:abstractNumId="1">
    <w:multiLevelType w:val="hybridMultilevel"/>
    <w:styleLink w:val="Stil importat 2"/>
    <w:lvl w:ilvl="0">
      <w:start w:val="1"/>
      <w:numFmt w:val="lowerLetter"/>
      <w:suff w:val="tab"/>
      <w:lvlText w:val="%1)"/>
      <w:lvlJc w:val="left"/>
      <w:pPr>
        <w:tabs>
          <w:tab w:val="num" w:pos="1134"/>
        </w:tabs>
        <w:ind w:left="283" w:firstLine="5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1134"/>
          <w:tab w:val="num" w:pos="1571"/>
        </w:tabs>
        <w:ind w:left="720" w:firstLine="2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1134"/>
          <w:tab w:val="num" w:pos="2291"/>
        </w:tabs>
        <w:ind w:left="1440" w:firstLine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134"/>
          <w:tab w:val="num" w:pos="3011"/>
        </w:tabs>
        <w:ind w:left="2160" w:firstLine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1134"/>
          <w:tab w:val="num" w:pos="3731"/>
        </w:tabs>
        <w:ind w:left="2880" w:firstLine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1134"/>
          <w:tab w:val="num" w:pos="4451"/>
        </w:tabs>
        <w:ind w:left="3600" w:firstLine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134"/>
          <w:tab w:val="num" w:pos="5171"/>
        </w:tabs>
        <w:ind w:left="4320" w:firstLine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1134"/>
          <w:tab w:val="num" w:pos="5891"/>
        </w:tabs>
        <w:ind w:left="5040" w:firstLine="3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1134"/>
          <w:tab w:val="num" w:pos="6611"/>
        </w:tabs>
        <w:ind w:left="5760" w:firstLine="4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il importat 3"/>
  </w:abstractNum>
  <w:abstractNum w:abstractNumId="3">
    <w:multiLevelType w:val="hybridMultilevel"/>
    <w:styleLink w:val="Stil importat 3"/>
    <w:lvl w:ilvl="0">
      <w:start w:val="1"/>
      <w:numFmt w:val="lowerLetter"/>
      <w:suff w:val="tab"/>
      <w:lvlText w:val="%1)"/>
      <w:lvlJc w:val="left"/>
      <w:pPr>
        <w:tabs>
          <w:tab w:val="num" w:pos="1134"/>
        </w:tabs>
        <w:ind w:left="283" w:firstLine="5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1134"/>
          <w:tab w:val="num" w:pos="1571"/>
        </w:tabs>
        <w:ind w:left="720" w:firstLine="2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1134"/>
          <w:tab w:val="num" w:pos="2291"/>
        </w:tabs>
        <w:ind w:left="1440" w:firstLine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134"/>
          <w:tab w:val="num" w:pos="3011"/>
        </w:tabs>
        <w:ind w:left="2160" w:firstLine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1134"/>
          <w:tab w:val="num" w:pos="3731"/>
        </w:tabs>
        <w:ind w:left="2880" w:firstLine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1134"/>
          <w:tab w:val="num" w:pos="4451"/>
        </w:tabs>
        <w:ind w:left="3600" w:firstLine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134"/>
          <w:tab w:val="num" w:pos="5171"/>
        </w:tabs>
        <w:ind w:left="4320" w:firstLine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1134"/>
          <w:tab w:val="num" w:pos="5891"/>
        </w:tabs>
        <w:ind w:left="5040" w:firstLine="3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1134"/>
          <w:tab w:val="num" w:pos="6611"/>
        </w:tabs>
        <w:ind w:left="5760" w:firstLine="4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română" w:val="‘“(〔[{〈《「『【⦅〘〖«〝︵︷︹︻︽︿﹁﹃﹇﹙﹛﹝｢"/>
  <w:noLineBreaksBefore w:lang="română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Antet și subsol">
    <w:name w:val="Antet și subsol"/>
    <w:next w:val="Antet și subsol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ubsol">
    <w:name w:val="Subsol"/>
    <w:next w:val="Subsol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1"/>
      <w:bidi w:val="0"/>
      <w:spacing w:before="0" w:after="20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20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Stil importat 2">
    <w:name w:val="Stil importat 2"/>
    <w:pPr>
      <w:numPr>
        <w:numId w:val="1"/>
      </w:numPr>
    </w:pPr>
  </w:style>
  <w:style w:type="paragraph" w:styleId="Listă paragraf">
    <w:name w:val="Listă paragraf"/>
    <w:next w:val="Listă paragraf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200" w:line="276" w:lineRule="auto"/>
      <w:ind w:left="72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Stil importat 3">
    <w:name w:val="Stil importat 3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