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0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101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10.09.2025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101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10.09.2025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01.09.2025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prelungirea acordarii venitului minim de incluziune (stimulentului) , acordat prin Dispozi</w:t>
      </w:r>
      <w:r>
        <w:rPr>
          <w:rtl w:val="0"/>
        </w:rPr>
        <w:t>ț</w:t>
      </w:r>
      <w:r>
        <w:rPr>
          <w:rtl w:val="0"/>
        </w:rPr>
        <w:t xml:space="preserve">ia primarului  </w:t>
      </w:r>
      <w:r>
        <w:rPr>
          <w:b w:val="1"/>
          <w:bCs w:val="1"/>
          <w:rtl w:val="0"/>
        </w:rPr>
        <w:t>nr.49/25.04.2025</w:t>
      </w:r>
      <w:r>
        <w:rPr>
          <w:rtl w:val="0"/>
        </w:rPr>
        <w:t xml:space="preserve">  î</w:t>
      </w:r>
      <w:r>
        <w:rPr>
          <w:rtl w:val="0"/>
        </w:rPr>
        <w:t xml:space="preserve">n cuantum </w:t>
      </w:r>
      <w:r>
        <w:rPr>
          <w:b w:val="1"/>
          <w:bCs w:val="1"/>
          <w:rtl w:val="0"/>
        </w:rPr>
        <w:t>de  732 lei</w:t>
      </w:r>
      <w:r>
        <w:rPr>
          <w:rtl w:val="0"/>
        </w:rPr>
        <w:t xml:space="preserve"> – </w:t>
      </w:r>
      <w:r>
        <w:rPr>
          <w:rtl w:val="0"/>
        </w:rPr>
        <w:t xml:space="preserve">ajutor  de  incluziune si </w:t>
      </w:r>
      <w:r>
        <w:rPr>
          <w:b w:val="1"/>
          <w:bCs w:val="1"/>
          <w:rtl w:val="0"/>
        </w:rPr>
        <w:t>143 lei</w:t>
      </w:r>
      <w:r>
        <w:rPr>
          <w:rtl w:val="0"/>
        </w:rPr>
        <w:t xml:space="preserve"> – </w:t>
      </w:r>
      <w:r>
        <w:rPr>
          <w:rtl w:val="0"/>
        </w:rPr>
        <w:t xml:space="preserve">ajutor pentru familia cu copii,  pentru familia dlui Barna Tiberiu Catalin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poienii, nr.2,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a expirat perioada de 6 luni a acordarii stimulentului;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