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B5CB" w14:textId="77777777" w:rsidR="00837D39" w:rsidRPr="00837D39" w:rsidRDefault="00837D39" w:rsidP="00837D39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37D39">
        <w:rPr>
          <w:rFonts w:ascii="Times New Roman" w:hAnsi="Times New Roman" w:cs="Times New Roman"/>
          <w:sz w:val="24"/>
          <w:szCs w:val="24"/>
          <w:lang w:val="ro-RO"/>
        </w:rP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A5193E" w14:textId="77777777" w:rsidR="00837D39" w:rsidRP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37D39">
        <w:rPr>
          <w:rFonts w:ascii="Times New Roman" w:hAnsi="Times New Roman" w:cs="Times New Roman"/>
          <w:sz w:val="24"/>
          <w:szCs w:val="24"/>
          <w:lang w:val="ro-RO"/>
        </w:rPr>
        <w:t>Judetul</w:t>
      </w:r>
      <w:proofErr w:type="spellEnd"/>
      <w:r w:rsidRPr="00837D3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37D39">
        <w:rPr>
          <w:rFonts w:ascii="Times New Roman" w:hAnsi="Times New Roman" w:cs="Times New Roman"/>
          <w:sz w:val="24"/>
          <w:szCs w:val="24"/>
          <w:lang w:val="ro-RO"/>
        </w:rPr>
        <w:t>Timis</w:t>
      </w:r>
      <w:proofErr w:type="spellEnd"/>
      <w:r w:rsidRPr="00837D3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3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3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3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3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3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39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EC639F5" w14:textId="77777777" w:rsidR="00837D39" w:rsidRPr="00837D39" w:rsidRDefault="00837D39" w:rsidP="00837D39">
      <w:pPr>
        <w:spacing w:after="0" w:line="240" w:lineRule="auto"/>
        <w:ind w:right="-33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37D39">
        <w:rPr>
          <w:rFonts w:ascii="Times New Roman" w:hAnsi="Times New Roman" w:cs="Times New Roman"/>
          <w:sz w:val="24"/>
          <w:szCs w:val="24"/>
          <w:lang w:val="ro-RO"/>
        </w:rPr>
        <w:t xml:space="preserve">Comuna Nadrag                                                                            </w:t>
      </w:r>
    </w:p>
    <w:p w14:paraId="6AEC43C7" w14:textId="5C4FFAE9" w:rsidR="00837D39" w:rsidRPr="00837D39" w:rsidRDefault="00837D39" w:rsidP="002D5A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37D39">
        <w:rPr>
          <w:rFonts w:ascii="Times New Roman" w:hAnsi="Times New Roman" w:cs="Times New Roman"/>
          <w:sz w:val="24"/>
          <w:szCs w:val="24"/>
          <w:lang w:val="ro-RO"/>
        </w:rPr>
        <w:t>Consiliul Local</w:t>
      </w:r>
      <w:r w:rsidRPr="00837D3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Pr="00837D3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37D39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                                                                                                                       </w:t>
      </w:r>
      <w:r w:rsidRPr="00837D3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</w:t>
      </w:r>
    </w:p>
    <w:p w14:paraId="350F7FB6" w14:textId="16D4BC21" w:rsidR="00837D39" w:rsidRDefault="00837D39" w:rsidP="00837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HOTĂRÂREA nr</w:t>
      </w:r>
      <w:r w:rsidR="002D5A07">
        <w:rPr>
          <w:rFonts w:ascii="Times New Roman" w:hAnsi="Times New Roman" w:cs="Times New Roman"/>
          <w:b/>
          <w:bCs/>
          <w:sz w:val="24"/>
          <w:szCs w:val="24"/>
        </w:rPr>
        <w:t>. 42</w:t>
      </w:r>
    </w:p>
    <w:p w14:paraId="52E06381" w14:textId="735A04AE" w:rsidR="00837D39" w:rsidRDefault="007A3D2B" w:rsidP="00837D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37D39">
        <w:rPr>
          <w:rFonts w:ascii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iulie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</w:t>
      </w:r>
    </w:p>
    <w:p w14:paraId="2A3CFD44" w14:textId="77777777" w:rsidR="00837D39" w:rsidRDefault="00837D39" w:rsidP="002D5A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ED96B" w14:textId="6CFA407A" w:rsidR="00837D39" w:rsidRPr="00920FC1" w:rsidRDefault="00920FC1" w:rsidP="00920FC1">
      <w:pPr>
        <w:spacing w:before="1" w:line="247" w:lineRule="auto"/>
        <w:ind w:right="-42"/>
        <w:jc w:val="both"/>
        <w:rPr>
          <w:rFonts w:ascii="Times New Roman" w:hAnsi="Times New Roman" w:cs="Times New Roman"/>
          <w:bCs/>
          <w:caps/>
          <w:w w:val="120"/>
          <w:sz w:val="24"/>
          <w:szCs w:val="24"/>
        </w:rPr>
      </w:pPr>
      <w:bookmarkStart w:id="0" w:name="_Hlk150541443"/>
      <w:r>
        <w:rPr>
          <w:rFonts w:ascii="Times New Roman" w:hAnsi="Times New Roman" w:cs="Times New Roman"/>
          <w:bCs/>
          <w:w w:val="120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bCs/>
          <w:w w:val="120"/>
          <w:sz w:val="24"/>
          <w:szCs w:val="24"/>
        </w:rPr>
        <w:t>P</w:t>
      </w:r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rivind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bookmarkStart w:id="1" w:name="_Hlk202862233"/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delegarea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serviciului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public de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alimentare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cu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apă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si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canalizare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,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denumit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„</w:t>
      </w:r>
      <w:proofErr w:type="spellStart"/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>Serviciul</w:t>
      </w:r>
      <w:proofErr w:type="spellEnd"/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r w:rsidR="002D5A07">
        <w:rPr>
          <w:rFonts w:ascii="Times New Roman" w:hAnsi="Times New Roman" w:cs="Times New Roman"/>
          <w:bCs/>
          <w:w w:val="120"/>
          <w:sz w:val="24"/>
          <w:szCs w:val="24"/>
        </w:rPr>
        <w:t>d</w:t>
      </w:r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e </w:t>
      </w:r>
      <w:proofErr w:type="spellStart"/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>Alimentare</w:t>
      </w:r>
      <w:proofErr w:type="spellEnd"/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r w:rsidR="002D5A07">
        <w:rPr>
          <w:rFonts w:ascii="Times New Roman" w:hAnsi="Times New Roman" w:cs="Times New Roman"/>
          <w:bCs/>
          <w:w w:val="120"/>
          <w:sz w:val="24"/>
          <w:szCs w:val="24"/>
        </w:rPr>
        <w:t>c</w:t>
      </w:r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u Apa </w:t>
      </w:r>
      <w:proofErr w:type="spellStart"/>
      <w:r w:rsidR="002D5A07">
        <w:rPr>
          <w:rFonts w:ascii="Times New Roman" w:hAnsi="Times New Roman" w:cs="Times New Roman"/>
          <w:bCs/>
          <w:w w:val="120"/>
          <w:sz w:val="24"/>
          <w:szCs w:val="24"/>
        </w:rPr>
        <w:t>ș</w:t>
      </w:r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>i</w:t>
      </w:r>
      <w:proofErr w:type="spellEnd"/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proofErr w:type="spellStart"/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>Canalizare</w:t>
      </w:r>
      <w:proofErr w:type="spellEnd"/>
      <w:r w:rsidR="002D5A07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Nadrag</w:t>
      </w:r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” </w:t>
      </w:r>
      <w:proofErr w:type="gramStart"/>
      <w:r w:rsidR="00B70803">
        <w:rPr>
          <w:rFonts w:ascii="Times New Roman" w:hAnsi="Times New Roman" w:cs="Times New Roman"/>
          <w:bCs/>
          <w:w w:val="120"/>
          <w:sz w:val="24"/>
          <w:szCs w:val="24"/>
        </w:rPr>
        <w:t>( CIF</w:t>
      </w:r>
      <w:proofErr w:type="gramEnd"/>
      <w:r w:rsidR="00B70803">
        <w:rPr>
          <w:rFonts w:ascii="Times New Roman" w:hAnsi="Times New Roman" w:cs="Times New Roman"/>
          <w:bCs/>
          <w:w w:val="120"/>
          <w:sz w:val="24"/>
          <w:szCs w:val="24"/>
        </w:rPr>
        <w:t xml:space="preserve"> 37500013)</w:t>
      </w:r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proofErr w:type="gram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cu</w:t>
      </w:r>
      <w:r w:rsidR="00837D39" w:rsidRPr="00920FC1">
        <w:rPr>
          <w:rFonts w:ascii="Times New Roman" w:hAnsi="Times New Roman" w:cs="Times New Roman"/>
          <w:bCs/>
          <w:spacing w:val="-57"/>
          <w:w w:val="120"/>
          <w:sz w:val="24"/>
          <w:szCs w:val="24"/>
        </w:rPr>
        <w:t xml:space="preserve"> 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personalitate</w:t>
      </w:r>
      <w:proofErr w:type="spellEnd"/>
      <w:proofErr w:type="gramEnd"/>
      <w:r w:rsidR="00837D39" w:rsidRPr="00920FC1">
        <w:rPr>
          <w:rFonts w:ascii="Times New Roman" w:hAnsi="Times New Roman" w:cs="Times New Roman"/>
          <w:bCs/>
          <w:spacing w:val="-55"/>
          <w:w w:val="120"/>
          <w:sz w:val="24"/>
          <w:szCs w:val="24"/>
        </w:rPr>
        <w:t xml:space="preserve">   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juridică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, </w:t>
      </w:r>
      <w:proofErr w:type="spellStart"/>
      <w:proofErr w:type="gram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organizat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r w:rsidR="00837D39" w:rsidRPr="00920FC1">
        <w:rPr>
          <w:rFonts w:ascii="Times New Roman" w:hAnsi="Times New Roman" w:cs="Times New Roman"/>
          <w:bCs/>
          <w:spacing w:val="-57"/>
          <w:w w:val="120"/>
          <w:sz w:val="24"/>
          <w:szCs w:val="24"/>
        </w:rPr>
        <w:t xml:space="preserve">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în</w:t>
      </w:r>
      <w:proofErr w:type="spellEnd"/>
      <w:proofErr w:type="gram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r w:rsidR="00837D39" w:rsidRPr="00920FC1">
        <w:rPr>
          <w:rFonts w:ascii="Times New Roman" w:hAnsi="Times New Roman" w:cs="Times New Roman"/>
          <w:bCs/>
          <w:spacing w:val="-54"/>
          <w:w w:val="120"/>
          <w:sz w:val="24"/>
          <w:szCs w:val="24"/>
        </w:rPr>
        <w:t xml:space="preserve">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subordinea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r w:rsidR="00837D39" w:rsidRPr="00920FC1">
        <w:rPr>
          <w:rFonts w:ascii="Times New Roman" w:hAnsi="Times New Roman" w:cs="Times New Roman"/>
          <w:bCs/>
          <w:spacing w:val="-54"/>
          <w:w w:val="120"/>
          <w:sz w:val="24"/>
          <w:szCs w:val="24"/>
        </w:rPr>
        <w:t xml:space="preserve"> 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Consiliului</w:t>
      </w:r>
      <w:proofErr w:type="spellEnd"/>
      <w:r w:rsidR="00837D39" w:rsidRPr="00920FC1">
        <w:rPr>
          <w:rFonts w:ascii="Times New Roman" w:hAnsi="Times New Roman" w:cs="Times New Roman"/>
          <w:bCs/>
          <w:spacing w:val="-56"/>
          <w:w w:val="120"/>
          <w:sz w:val="24"/>
          <w:szCs w:val="24"/>
        </w:rPr>
        <w:t xml:space="preserve">     </w:t>
      </w:r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Local</w:t>
      </w:r>
      <w:r w:rsidR="00837D39" w:rsidRPr="00920FC1">
        <w:rPr>
          <w:rFonts w:ascii="Times New Roman" w:hAnsi="Times New Roman" w:cs="Times New Roman"/>
          <w:bCs/>
          <w:spacing w:val="-55"/>
          <w:w w:val="120"/>
          <w:sz w:val="24"/>
          <w:szCs w:val="24"/>
        </w:rPr>
        <w:t xml:space="preserve">     </w:t>
      </w:r>
      <w:proofErr w:type="gram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al </w:t>
      </w:r>
      <w:r w:rsidR="00837D39" w:rsidRPr="00920FC1">
        <w:rPr>
          <w:rFonts w:ascii="Times New Roman" w:hAnsi="Times New Roman" w:cs="Times New Roman"/>
          <w:bCs/>
          <w:spacing w:val="-56"/>
          <w:w w:val="120"/>
          <w:sz w:val="24"/>
          <w:szCs w:val="24"/>
        </w:rPr>
        <w:t xml:space="preserve">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comunei</w:t>
      </w:r>
      <w:proofErr w:type="spellEnd"/>
      <w:proofErr w:type="gram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N</w:t>
      </w:r>
      <w:r>
        <w:rPr>
          <w:rFonts w:ascii="Times New Roman" w:hAnsi="Times New Roman" w:cs="Times New Roman"/>
          <w:bCs/>
          <w:w w:val="120"/>
          <w:sz w:val="24"/>
          <w:szCs w:val="24"/>
        </w:rPr>
        <w:t>ădrag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, </w:t>
      </w:r>
      <w:proofErr w:type="spellStart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>jud</w:t>
      </w:r>
      <w:proofErr w:type="spellEnd"/>
      <w:r w:rsidR="00837D39"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. </w:t>
      </w:r>
      <w:r w:rsidR="00FF5C8D">
        <w:rPr>
          <w:rFonts w:ascii="Times New Roman" w:hAnsi="Times New Roman" w:cs="Times New Roman"/>
          <w:bCs/>
          <w:w w:val="120"/>
          <w:sz w:val="24"/>
          <w:szCs w:val="24"/>
        </w:rPr>
        <w:t>Timiș</w:t>
      </w:r>
      <w:r w:rsidR="00FF5C8D">
        <w:rPr>
          <w:rFonts w:ascii="Times New Roman" w:hAnsi="Times New Roman" w:cs="Times New Roman"/>
          <w:bCs/>
          <w:caps/>
          <w:w w:val="120"/>
          <w:sz w:val="24"/>
          <w:szCs w:val="24"/>
        </w:rPr>
        <w:t>.</w:t>
      </w:r>
      <w:bookmarkEnd w:id="1"/>
    </w:p>
    <w:bookmarkEnd w:id="0"/>
    <w:p w14:paraId="37F848CF" w14:textId="77777777" w:rsidR="002D5A07" w:rsidRDefault="00920FC1" w:rsidP="00920FC1">
      <w:pPr>
        <w:pStyle w:val="Corptext"/>
        <w:spacing w:line="264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37D39">
        <w:rPr>
          <w:sz w:val="24"/>
          <w:szCs w:val="24"/>
        </w:rPr>
        <w:t>Consiliul local al comunei Nadrag</w:t>
      </w:r>
      <w:r w:rsidR="00115294">
        <w:rPr>
          <w:sz w:val="24"/>
          <w:szCs w:val="24"/>
        </w:rPr>
        <w:t>.</w:t>
      </w:r>
    </w:p>
    <w:p w14:paraId="4160A6A7" w14:textId="1A30D59D" w:rsidR="00837D39" w:rsidRPr="002D5A07" w:rsidRDefault="002D5A07" w:rsidP="002D5A07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faptul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r w:rsidR="00837D39"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2B5A09">
        <w:rPr>
          <w:rFonts w:ascii="Times New Roman" w:hAnsi="Times New Roman" w:cs="Times New Roman"/>
          <w:sz w:val="24"/>
          <w:szCs w:val="24"/>
        </w:rPr>
        <w:t>entru</w:t>
      </w:r>
      <w:proofErr w:type="spellEnd"/>
      <w:proofErr w:type="gramEnd"/>
      <w:r w:rsidRPr="002B5A0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B5A09">
        <w:rPr>
          <w:rFonts w:ascii="Times New Roman" w:hAnsi="Times New Roman" w:cs="Times New Roman"/>
          <w:sz w:val="24"/>
          <w:szCs w:val="24"/>
        </w:rPr>
        <w:t>bună</w:t>
      </w:r>
      <w:proofErr w:type="spellEnd"/>
      <w:r w:rsidRPr="002B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09">
        <w:rPr>
          <w:rFonts w:ascii="Times New Roman" w:hAnsi="Times New Roman" w:cs="Times New Roman"/>
          <w:sz w:val="24"/>
          <w:szCs w:val="24"/>
        </w:rPr>
        <w:t>functionare</w:t>
      </w:r>
      <w:proofErr w:type="spellEnd"/>
      <w:r w:rsidRPr="002B5A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Serviciul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2650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26506">
        <w:rPr>
          <w:rFonts w:ascii="Times New Roman" w:hAnsi="Times New Roman" w:cs="Times New Roman"/>
          <w:sz w:val="24"/>
          <w:szCs w:val="24"/>
        </w:rPr>
        <w:t xml:space="preserve">u Apa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B265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Nadrag </w:t>
      </w:r>
      <w:proofErr w:type="spellStart"/>
      <w:r w:rsidRPr="002B5A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B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09">
        <w:rPr>
          <w:rFonts w:ascii="Times New Roman" w:hAnsi="Times New Roman" w:cs="Times New Roman"/>
          <w:sz w:val="24"/>
          <w:szCs w:val="24"/>
        </w:rPr>
        <w:t>obținerea</w:t>
      </w:r>
      <w:proofErr w:type="spellEnd"/>
      <w:r w:rsidRPr="002B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09">
        <w:rPr>
          <w:rFonts w:ascii="Times New Roman" w:hAnsi="Times New Roman" w:cs="Times New Roman"/>
          <w:sz w:val="24"/>
          <w:szCs w:val="24"/>
        </w:rPr>
        <w:t>avizelor</w:t>
      </w:r>
      <w:proofErr w:type="spellEnd"/>
      <w:r w:rsidRPr="002B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5A09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B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nevesară</w:t>
      </w:r>
      <w:proofErr w:type="spellEnd"/>
      <w:r w:rsidRPr="002B5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delegarea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public de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26506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26506">
        <w:rPr>
          <w:rFonts w:ascii="Times New Roman" w:hAnsi="Times New Roman" w:cs="Times New Roman"/>
          <w:sz w:val="24"/>
          <w:szCs w:val="24"/>
        </w:rPr>
        <w:t xml:space="preserve">u Apa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B265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6506">
        <w:rPr>
          <w:rFonts w:ascii="Times New Roman" w:hAnsi="Times New Roman" w:cs="Times New Roman"/>
          <w:sz w:val="24"/>
          <w:szCs w:val="24"/>
        </w:rPr>
        <w:t>Nadrag”  cu</w:t>
      </w:r>
      <w:proofErr w:type="gramEnd"/>
      <w:r w:rsidRPr="00B265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personalitate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26506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B265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subordinea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 xml:space="preserve">     Local     </w:t>
      </w:r>
      <w:proofErr w:type="gramStart"/>
      <w:r w:rsidRPr="00B26506">
        <w:rPr>
          <w:rFonts w:ascii="Times New Roman" w:hAnsi="Times New Roman" w:cs="Times New Roman"/>
          <w:sz w:val="24"/>
          <w:szCs w:val="24"/>
        </w:rPr>
        <w:t xml:space="preserve">al 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proofErr w:type="gramEnd"/>
      <w:r w:rsidRPr="00B26506">
        <w:rPr>
          <w:rFonts w:ascii="Times New Roman" w:hAnsi="Times New Roman" w:cs="Times New Roman"/>
          <w:sz w:val="24"/>
          <w:szCs w:val="24"/>
        </w:rPr>
        <w:t xml:space="preserve"> Nadrag, </w:t>
      </w:r>
      <w:proofErr w:type="spellStart"/>
      <w:r w:rsidRPr="00B2650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B26506">
        <w:rPr>
          <w:rFonts w:ascii="Times New Roman" w:hAnsi="Times New Roman" w:cs="Times New Roman"/>
          <w:sz w:val="24"/>
          <w:szCs w:val="24"/>
        </w:rPr>
        <w:t>. Timis</w:t>
      </w:r>
    </w:p>
    <w:p w14:paraId="171E77AA" w14:textId="592720FA" w:rsidR="00920FC1" w:rsidRPr="00920FC1" w:rsidRDefault="00920FC1" w:rsidP="00920FC1">
      <w:pPr>
        <w:spacing w:after="0" w:line="256" w:lineRule="auto"/>
        <w:jc w:val="both"/>
        <w:rPr>
          <w:rFonts w:ascii="Times New Roman" w:eastAsia="SimSun" w:hAnsi="Times New Roman" w:cs="Times New Roman"/>
          <w:sz w:val="24"/>
          <w:szCs w:val="24"/>
          <w:lang w:val="it-IT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 </w:t>
      </w:r>
      <w:r w:rsidRPr="00920FC1">
        <w:rPr>
          <w:rFonts w:ascii="Times New Roman" w:eastAsia="SimSun" w:hAnsi="Times New Roman" w:cs="Times New Roman"/>
          <w:sz w:val="24"/>
          <w:szCs w:val="24"/>
          <w:lang w:val="it-IT" w:eastAsia="zh-CN"/>
        </w:rPr>
        <w:t>Având în vedere referatul nr.</w:t>
      </w:r>
      <w:r w:rsidR="00F13FAB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1603</w:t>
      </w:r>
      <w:r w:rsidRPr="00920FC1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/ </w:t>
      </w:r>
      <w:r w:rsidR="00F13FAB">
        <w:rPr>
          <w:rFonts w:ascii="Times New Roman" w:eastAsia="SimSun" w:hAnsi="Times New Roman" w:cs="Times New Roman"/>
          <w:sz w:val="24"/>
          <w:szCs w:val="24"/>
          <w:lang w:val="it-IT" w:eastAsia="zh-CN"/>
        </w:rPr>
        <w:t>07.07.2025</w:t>
      </w:r>
      <w:r w:rsidRPr="00920FC1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al primarului comunei Nădrag – iniţiator al proiectului de hotărâre;</w:t>
      </w:r>
    </w:p>
    <w:p w14:paraId="06E16C0F" w14:textId="63248A82" w:rsidR="00920FC1" w:rsidRPr="00920FC1" w:rsidRDefault="00920FC1" w:rsidP="00920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0FC1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           Av</w:t>
      </w:r>
      <w:proofErr w:type="spellStart"/>
      <w:r w:rsidRPr="00920FC1">
        <w:rPr>
          <w:rFonts w:ascii="Times New Roman" w:eastAsia="SimSun" w:hAnsi="Times New Roman" w:cs="Times New Roman"/>
          <w:sz w:val="24"/>
          <w:szCs w:val="24"/>
          <w:lang w:val="ro-RO" w:eastAsia="zh-CN"/>
        </w:rPr>
        <w:t>ând</w:t>
      </w:r>
      <w:proofErr w:type="spellEnd"/>
      <w:r w:rsidRPr="00920FC1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în vedere referatul  nr. </w:t>
      </w:r>
      <w:r w:rsidR="00F13FAB">
        <w:rPr>
          <w:rFonts w:ascii="Times New Roman" w:eastAsia="SimSun" w:hAnsi="Times New Roman" w:cs="Times New Roman"/>
          <w:sz w:val="24"/>
          <w:szCs w:val="24"/>
          <w:lang w:val="ro-RO" w:eastAsia="zh-CN"/>
        </w:rPr>
        <w:t>1604</w:t>
      </w:r>
      <w:r w:rsidRPr="00920FC1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/</w:t>
      </w:r>
      <w:r w:rsidR="00F13FAB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</w:t>
      </w:r>
      <w:r w:rsidR="00F13FAB">
        <w:rPr>
          <w:rFonts w:ascii="Times New Roman" w:eastAsia="SimSun" w:hAnsi="Times New Roman" w:cs="Times New Roman"/>
          <w:sz w:val="24"/>
          <w:szCs w:val="24"/>
          <w:lang w:val="it-IT" w:eastAsia="zh-CN"/>
        </w:rPr>
        <w:t>07.07.2025</w:t>
      </w:r>
      <w:r w:rsidR="00F13FAB" w:rsidRPr="00920FC1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</w:t>
      </w:r>
      <w:r w:rsidRPr="00920FC1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al compartimentului de specialitate;</w:t>
      </w:r>
    </w:p>
    <w:p w14:paraId="4E55AD81" w14:textId="2A8BA1C1" w:rsidR="00837D39" w:rsidRDefault="00920FC1" w:rsidP="00920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920FC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Având în vedere avizul favorabil nr.</w:t>
      </w:r>
      <w:r w:rsidR="00F13FA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1605</w:t>
      </w:r>
      <w:r w:rsidRPr="00920FC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/ </w:t>
      </w:r>
      <w:r w:rsidR="00F13FAB">
        <w:rPr>
          <w:rFonts w:ascii="Times New Roman" w:eastAsia="SimSun" w:hAnsi="Times New Roman" w:cs="Times New Roman"/>
          <w:sz w:val="24"/>
          <w:szCs w:val="24"/>
          <w:lang w:val="it-IT" w:eastAsia="zh-CN"/>
        </w:rPr>
        <w:t>07.07.2025</w:t>
      </w:r>
      <w:r w:rsidR="00F13FAB" w:rsidRPr="00920FC1">
        <w:rPr>
          <w:rFonts w:ascii="Times New Roman" w:eastAsia="SimSun" w:hAnsi="Times New Roman" w:cs="Times New Roman"/>
          <w:sz w:val="24"/>
          <w:szCs w:val="24"/>
          <w:lang w:val="it-IT" w:eastAsia="zh-CN"/>
        </w:rPr>
        <w:t xml:space="preserve"> </w:t>
      </w:r>
      <w:r w:rsidRPr="00920FC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 comisiei de specialitate a Consiliului Local;</w:t>
      </w:r>
    </w:p>
    <w:p w14:paraId="1B90A4C1" w14:textId="2111E6A7" w:rsidR="001A0256" w:rsidRDefault="001A0256" w:rsidP="00920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Ținând cont de faptul că anunțul referitor la elaborarea proiectului de hotărâre a fost adus la cunoștința publicului. </w:t>
      </w:r>
    </w:p>
    <w:p w14:paraId="0C47D90C" w14:textId="51716DF9" w:rsidR="001A0256" w:rsidRPr="00920FC1" w:rsidRDefault="001A0256" w:rsidP="00920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că </w:t>
      </w:r>
      <w:r w:rsidR="002477F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prezenta hotărâre este un act </w:t>
      </w:r>
      <w:r w:rsidR="0049750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administrativ </w:t>
      </w:r>
      <w:r w:rsidR="002477FB">
        <w:rPr>
          <w:rFonts w:ascii="Times New Roman" w:eastAsia="Times New Roman" w:hAnsi="Times New Roman" w:cs="Times New Roman"/>
          <w:sz w:val="24"/>
          <w:szCs w:val="24"/>
          <w:lang w:val="it-IT"/>
        </w:rPr>
        <w:t>cu caracter normativ</w:t>
      </w:r>
      <w:r w:rsidR="0049750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13B57E87" w14:textId="748FDC73" w:rsidR="00837D39" w:rsidRPr="00920FC1" w:rsidRDefault="00837D39" w:rsidP="00920FC1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ro-RO" w:bidi="ro-RO"/>
        </w:rPr>
      </w:pPr>
      <w:proofErr w:type="spellStart"/>
      <w:r w:rsidRPr="00920FC1">
        <w:rPr>
          <w:rFonts w:ascii="Times New Roman" w:hAnsi="Times New Roman" w:cs="Times New Roman"/>
          <w:sz w:val="24"/>
          <w:szCs w:val="24"/>
          <w:u w:val="single"/>
          <w:lang w:eastAsia="ro-RO" w:bidi="ro-RO"/>
        </w:rPr>
        <w:t>În</w:t>
      </w:r>
      <w:proofErr w:type="spellEnd"/>
      <w:r w:rsidRPr="00920FC1">
        <w:rPr>
          <w:rFonts w:ascii="Times New Roman" w:hAnsi="Times New Roman" w:cs="Times New Roman"/>
          <w:sz w:val="24"/>
          <w:szCs w:val="24"/>
          <w:u w:val="single"/>
          <w:lang w:eastAsia="ro-RO" w:bidi="ro-RO"/>
        </w:rPr>
        <w:t xml:space="preserve"> </w:t>
      </w:r>
      <w:proofErr w:type="spellStart"/>
      <w:r w:rsidRPr="00920FC1">
        <w:rPr>
          <w:rFonts w:ascii="Times New Roman" w:hAnsi="Times New Roman" w:cs="Times New Roman"/>
          <w:sz w:val="24"/>
          <w:szCs w:val="24"/>
          <w:u w:val="single"/>
          <w:lang w:eastAsia="ro-RO" w:bidi="ro-RO"/>
        </w:rPr>
        <w:t>temeiul</w:t>
      </w:r>
      <w:proofErr w:type="spellEnd"/>
      <w:r w:rsidRPr="00920FC1">
        <w:rPr>
          <w:rFonts w:ascii="Times New Roman" w:hAnsi="Times New Roman" w:cs="Times New Roman"/>
          <w:sz w:val="24"/>
          <w:szCs w:val="24"/>
          <w:u w:val="single"/>
          <w:lang w:eastAsia="ro-RO" w:bidi="ro-RO"/>
        </w:rPr>
        <w:t>:</w:t>
      </w:r>
    </w:p>
    <w:p w14:paraId="34C3C54E" w14:textId="77777777" w:rsidR="00837D39" w:rsidRDefault="00837D39" w:rsidP="00837D3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- 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(4)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lit.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„h”,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3,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8,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22,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24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(2),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25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(1),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(2) </w:t>
      </w:r>
      <w:r>
        <w:rPr>
          <w:rFonts w:ascii="Times New Roman" w:hAnsi="Times New Roman" w:cs="Times New Roman"/>
          <w:sz w:val="24"/>
          <w:szCs w:val="24"/>
          <w:lang w:bidi="en-US"/>
        </w:rPr>
        <w:t>lit.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>„</w:t>
      </w:r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a”  din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nr. 51/2006 a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comunitare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utilități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actualizată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>;</w:t>
      </w:r>
    </w:p>
    <w:p w14:paraId="55750705" w14:textId="77777777" w:rsidR="00837D39" w:rsidRDefault="00837D39" w:rsidP="00837D3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- 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10,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(1)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lit.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„e”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„h”,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17,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18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(1)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lit.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„a”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(2),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19 din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nr. 241/2006 a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actualizată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</w:p>
    <w:p w14:paraId="059B21D0" w14:textId="77777777" w:rsidR="00837D39" w:rsidRDefault="00837D39" w:rsidP="00837D3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Ordinele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președintelui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A.N.R.S.C. nr. 88, 89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90 din 2007;</w:t>
      </w:r>
    </w:p>
    <w:p w14:paraId="2B6CD79E" w14:textId="77777777" w:rsidR="00837D39" w:rsidRDefault="00837D39" w:rsidP="00837D3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- 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II din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nr. 224/2015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alimentare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nr. 241/2006,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actualizată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>;</w:t>
      </w:r>
    </w:p>
    <w:p w14:paraId="0998A4F0" w14:textId="77777777" w:rsidR="00837D39" w:rsidRDefault="00837D39" w:rsidP="00837D3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- Art. 5,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2)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 art.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6,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(3); art.8,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>1); art.59; art.</w:t>
      </w:r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80 ;I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81,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2) din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nr. 24/2000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normele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tehnică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elaborarea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normative,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>;</w:t>
      </w:r>
    </w:p>
    <w:p w14:paraId="3FFC4B2D" w14:textId="77777777" w:rsidR="00837D39" w:rsidRDefault="00837D39" w:rsidP="00837D3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</w:t>
      </w:r>
      <w:r>
        <w:rPr>
          <w:rFonts w:ascii="Times New Roman" w:hAnsi="Times New Roman" w:cs="Times New Roman"/>
          <w:sz w:val="24"/>
          <w:szCs w:val="24"/>
          <w:lang w:val="ro-RO"/>
        </w:rPr>
        <w:t>țiilor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art.7 din Legea nr. 52/2003 privind transparența decizională în administrația publică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CDCDBD5" w14:textId="77777777" w:rsidR="00837D39" w:rsidRDefault="00837D39" w:rsidP="00837D39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129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2)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lit.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coroborate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(3),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lit.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„c”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(7)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lit.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„n”,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139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(3),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lit.c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),  </w:t>
      </w:r>
      <w:r>
        <w:rPr>
          <w:rFonts w:ascii="Times New Roman" w:hAnsi="Times New Roman" w:cs="Times New Roman"/>
          <w:sz w:val="24"/>
          <w:szCs w:val="24"/>
          <w:lang w:bidi="en-US"/>
        </w:rPr>
        <w:t>art.</w:t>
      </w:r>
      <w:proofErr w:type="gramEnd"/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196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(1)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lit.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„a”,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art. </w:t>
      </w:r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197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(1) ,</w:t>
      </w:r>
      <w:proofErr w:type="gram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(2), (3), (4)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(5)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art.200 din O.U.G. nr. 57/2019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o-RO" w:bidi="ro-RO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o-RO" w:bidi="ro-RO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eastAsia="ro-RO" w:bidi="ro-RO"/>
        </w:rPr>
        <w:t xml:space="preserve"> ;</w:t>
      </w:r>
      <w:proofErr w:type="gramEnd"/>
    </w:p>
    <w:p w14:paraId="4FEA5617" w14:textId="77777777" w:rsidR="00837D39" w:rsidRDefault="00837D39" w:rsidP="00837D39">
      <w:pPr>
        <w:pStyle w:val="Frspaiere"/>
        <w:ind w:firstLine="720"/>
        <w:jc w:val="center"/>
        <w:rPr>
          <w:rFonts w:ascii="Times New Roman" w:hAnsi="Times New Roman" w:cs="Times New Roman"/>
          <w:b/>
          <w:bCs/>
          <w:w w:val="111"/>
          <w:sz w:val="24"/>
          <w:szCs w:val="24"/>
        </w:rPr>
      </w:pPr>
    </w:p>
    <w:p w14:paraId="47A65C1C" w14:textId="60F67CD4" w:rsidR="00837D39" w:rsidRDefault="00837D39" w:rsidP="002D5A07">
      <w:pPr>
        <w:pStyle w:val="Frspaier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1"/>
          <w:sz w:val="24"/>
          <w:szCs w:val="24"/>
        </w:rPr>
        <w:t>HOTĂRĂȘTE</w:t>
      </w:r>
    </w:p>
    <w:p w14:paraId="542875E9" w14:textId="115666F2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„(1) Se aprobă darea în administrare a serviciului de alimentare cu apă și canalizare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infrastructurii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tehnico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-edilitare aferente acestuia pentru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serviciului public de alimentare cu apă și canalizare în comuna Nadrag, din județul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Timis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către ”</w:t>
      </w:r>
      <w:r>
        <w:rPr>
          <w:iCs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SERVICIUL DE ALIMENTARE CU APA SI CANALIZARE NADRAG”</w:t>
      </w:r>
      <w:r w:rsidR="00B70803">
        <w:rPr>
          <w:rFonts w:ascii="Times New Roman" w:hAnsi="Times New Roman" w:cs="Times New Roman"/>
          <w:iCs/>
          <w:sz w:val="24"/>
          <w:szCs w:val="24"/>
        </w:rPr>
        <w:t>( CIF 37500013)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serviciu cu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>personalitate juridică din subordinea Consiliului Local al comunei Nadrag pentru o perioada de 5 ani.</w:t>
      </w:r>
    </w:p>
    <w:p w14:paraId="53BE694A" w14:textId="6B1FBD23" w:rsidR="00837D39" w:rsidRPr="002D5A07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Bunurile ce compun sistemele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publice prin intermediul cărora sunt prestate activitățile din cadrul serviciului de alimentare și de canalizare vor fi date în administrare și exploatare în baza unui proces verbal de predare-primire încheiat între Comuna Nadrag în calitate de predător și ” SERVICIUL DE ALIMENTARE CU APA SI CANALIZARE NADRAG” în calitate de primitor.”</w:t>
      </w:r>
    </w:p>
    <w:p w14:paraId="4ADA25FB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Art.2.</w:t>
      </w:r>
      <w:r>
        <w:rPr>
          <w:rFonts w:ascii="Times New Roman" w:hAnsi="Times New Roman" w:cs="Times New Roman"/>
          <w:iCs/>
          <w:sz w:val="24"/>
          <w:szCs w:val="24"/>
        </w:rPr>
        <w:t xml:space="preserve">Operatorul serviciului de alimentare cu apă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canalizare, va administra, va asigura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va exploata serviciul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sistemul de alimentare cu apă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canalizare al comunei Nadrag și va presta următoarele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2DEFEFD1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captarea apei brute, din surse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sau subterane;</w:t>
      </w:r>
    </w:p>
    <w:p w14:paraId="68CFF266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b) tratarea apei brute;</w:t>
      </w:r>
    </w:p>
    <w:p w14:paraId="0C932C38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transportul apei potabile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/sau industriale;</w:t>
      </w:r>
    </w:p>
    <w:p w14:paraId="051408CF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d) înmagazinarea apei;</w:t>
      </w:r>
    </w:p>
    <w:p w14:paraId="6CA2A3F8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distribuţia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apei potabile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 sau industriale.</w:t>
      </w:r>
    </w:p>
    <w:p w14:paraId="367958D5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f) colectarea, transportul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evacuarea apelor uzate de la utilizatori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epurare;</w:t>
      </w:r>
    </w:p>
    <w:p w14:paraId="6851A10B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g) epurarea apelor uzate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evacuarea apei epurate în emisar;</w:t>
      </w:r>
    </w:p>
    <w:p w14:paraId="1E9C0FA5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h) colectarea, evacuarea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tratarea adecvată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deşeurilor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gurile de scurgere a apelor pluviale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asigurarea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funcţionalităţii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acestora; </w:t>
      </w:r>
    </w:p>
    <w:p w14:paraId="6410EEF4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i) evacuarea, tratarea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depozitarea nămolurilor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altor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deşeuri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similare derivate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prevăzute mai sus; </w:t>
      </w:r>
    </w:p>
    <w:p w14:paraId="74F4FEAC" w14:textId="3BA7C5AD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j) evacuarea apelor pluviale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intravilanul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localităţilor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D2CA895" w14:textId="2E574F4C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Art.3.</w:t>
      </w:r>
      <w:r>
        <w:rPr>
          <w:rFonts w:ascii="Times New Roman" w:hAnsi="Times New Roman" w:cs="Times New Roman"/>
          <w:iCs/>
          <w:sz w:val="24"/>
          <w:szCs w:val="24"/>
        </w:rPr>
        <w:t xml:space="preserve"> Se acordă Operatorului dreptul exclusiv de a presta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art.2 pentru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utilizatorii din raza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administrativ-teritoriale Nadrag în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calitate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respectarea indicatorilor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performanţă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prin Regulamentul propriu al serviciului de alimentare cu apă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canalizare (Anexa 1).</w:t>
      </w:r>
    </w:p>
    <w:p w14:paraId="3AB61AB3" w14:textId="6689DB18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Art.4</w:t>
      </w:r>
      <w:r>
        <w:rPr>
          <w:rFonts w:ascii="Times New Roman" w:hAnsi="Times New Roman" w:cs="Times New Roman"/>
          <w:iCs/>
          <w:sz w:val="24"/>
          <w:szCs w:val="24"/>
        </w:rPr>
        <w:t xml:space="preserve"> Prestarea serviciului public de alimentare cu apă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canalizare al comunei Nadrag se va face în conformitate cu prevederile Regulamentului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Caietului de Sarcini (Anexa 2) proprii ale serviciului public de alimentare cu apă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canalizare.</w:t>
      </w:r>
    </w:p>
    <w:p w14:paraId="772B1798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Art.5</w:t>
      </w:r>
      <w:r>
        <w:rPr>
          <w:rFonts w:ascii="Times New Roman" w:hAnsi="Times New Roman" w:cs="Times New Roman"/>
          <w:iCs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sistemului de alimentare cu apă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canalizare trebuie să fie continuă, operatorul răspunzând pentru neîndeplinirea serviciului, în conformitate cu clauzele contractuale sau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menţinere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licenţei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B3528DD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În cazul lipsei de debit ca urmare a reducerii debitelor de apă ale sursei în caz de secetă sau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îngheţ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distribuţia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apei se va face după un program propus de operator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aprobat de autoritatea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publice locale, program ce va fi adus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cunoştinţa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utilizatorilor în timp util, prin mijloace adecvate (mass-media,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utilizator). </w:t>
      </w:r>
    </w:p>
    <w:p w14:paraId="516D8FDC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(3) Apa potabilă distribuită prin sistemele de alimentare cu apă este destinată satisfacerii cu prioritate a nevoilor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gospodăreşti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populaţiei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instituţiilor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publice, ale operatorilor economici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după caz, pentru combaterea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stingerea incendiilor, în lipsa apei industriale.</w:t>
      </w:r>
    </w:p>
    <w:p w14:paraId="7334C223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(4) Apa potabilă distribuită utilizatorilor trebuie să îndeplinească,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branşamentele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acestora,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potabilitate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parametrii de debit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presiune prevăzute în normele tehnice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reglementările legale în vigoare.</w:t>
      </w:r>
    </w:p>
    <w:p w14:paraId="4A08A30A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(5) Utilizarea apei potabile în alte scopuri decât cele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menţionate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alin. (3) este permisă numai în măsura în care exista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disponibilităţi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necesarul de apă potabilă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localităţii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stabilit potrivit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prescripţiilor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tehnice în vigoare.</w:t>
      </w:r>
    </w:p>
    <w:p w14:paraId="486386E1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(6) În cazul în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cerinţele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apă potabilă ale operatorilor economici nu pot fi acoperite integral,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aceştia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pot să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asigure alimentarea cu apă potabilă prin sisteme proprii, realizate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exploatate în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legii;</w:t>
      </w:r>
    </w:p>
    <w:p w14:paraId="2D3A542F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(7) Pentru satisfacerea altor nevoi, cum ar fi: stropitul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strazilor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spaţiilor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verzi, spălatul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pieţelor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străzilor, spălarea periodică a sistemului de canalizare, spălarea autovehiculelor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consumul tehnologic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industriale, se va utiliza cu precădere apa industrială.</w:t>
      </w:r>
    </w:p>
    <w:p w14:paraId="31BC5EE0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(8) Apa industrială sau apa cu caracter nepotabil se poate asigura prin sisteme publice de alimentare cu apă industrială sau prin sisteme individuale realizate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exploatate de operatorii economici.</w:t>
      </w:r>
    </w:p>
    <w:p w14:paraId="22907C03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(9) Se interzice orice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legatură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sau interconectare între sistemele de alimentare cu apă potabilă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sistemele de alimentare cu apă industrială.</w:t>
      </w:r>
    </w:p>
    <w:p w14:paraId="1BF24141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(10) Sistemul de canalizare trebuie să asigure, cu precădere, colectarea, transportul, epurarea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evacuarea într-un receptor natural a apelor uzate provenite de la utilizatorii serviciului de alimentare cu apă, precum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apelor pluviale sau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colectate de pe teritoriul Comunei Nadrag.</w:t>
      </w:r>
    </w:p>
    <w:p w14:paraId="37BE1D00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(11) Nămolurile provenite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tratare a apei, din sistemele de canalizare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epurare a apelor uzate se tratează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prelucrează în vederea neutralizării, deshidratării, depozitării controlate sau valorificării, potrivit reglementărilor legale în vigoare privind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conservarea mediului, respectiv igiena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sănătatea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populaţiei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136B604B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(12) Apele uzate evacuate în sistemele de canalizare trebuie să respecte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precizate prin acordul de preluare în canalizarea publică a comunei Nadrag, respectiv prin contractul de prestare a serviciului, precum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 cele impuse prin reglementările tehnice în vigoare, astfel încât, prin natura, cantitatea ori calitatea lor, sa nu conducă la:</w:t>
      </w:r>
    </w:p>
    <w:p w14:paraId="1959E82D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degradarea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instalaţiilor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componente ale sistemelor de canalizare;</w:t>
      </w:r>
    </w:p>
    <w:p w14:paraId="292CD267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diminuarea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capacităţii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transport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reţelelor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canalelor colectoare;</w:t>
      </w:r>
    </w:p>
    <w:p w14:paraId="37907AE8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perturbarea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normale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epurare prin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depăşirea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debitului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încărcării sau prin inhibarea proceselor de epurare;</w:t>
      </w:r>
    </w:p>
    <w:p w14:paraId="3CC7E6AE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apariţia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unor pericole pentru igiena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sănătatea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populaţiei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sau a personalului de</w:t>
      </w:r>
    </w:p>
    <w:p w14:paraId="5BE9773A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exploatare a sistemului;</w:t>
      </w:r>
    </w:p>
    <w:p w14:paraId="268FD9FE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apariţia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pericolelor de explozie.</w:t>
      </w:r>
    </w:p>
    <w:p w14:paraId="77AAAAA7" w14:textId="77777777" w:rsidR="00837D39" w:rsidRDefault="00837D39" w:rsidP="00837D39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(13) Evacuarea în receptorii naturali a apelor uzate epurate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depozitarea nămolurilor provenite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epurare se fac numai în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calitative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cantitative precizate în avizele, acordurile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autorizaţiile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mediu eliberate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competente, potrivit reglementărilor în vigoare din domeniul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protecţiei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apei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mediului, astfel încât să se garanteze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conservarea mediului, respectiv igiena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sănătatea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populaţiei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8891791" w14:textId="51A7024E" w:rsidR="00837D39" w:rsidRPr="002D5A07" w:rsidRDefault="00837D39" w:rsidP="002D5A07">
      <w:pPr>
        <w:pStyle w:val="Corptext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(14) Preluarea în sistemele de canalizare a apelor uzate provenite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agenţi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economici industriali sau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utilizatori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neracordati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reţelele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distribuţie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apei se poate aproba numai în măsura în care capacitatea sistemelor nu este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depăşită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punct de vedere hidraulic sau al încărcării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substanţe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impurificatoare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numai dacă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conţin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poluanţi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toxici sau care pot inhiba ori bloca procesul de epurare.</w:t>
      </w:r>
    </w:p>
    <w:p w14:paraId="6E59F7AE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Art.6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(1)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intervenţia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rapidă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marcaje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inscripţii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clădirile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locuit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apropiere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împrejmuiri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indica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prezenţa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căminelor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vane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hidranţilor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incendiu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1BBD25AD" w14:textId="0F105B55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Este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blocarea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accesului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căminele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hidranţii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reţelei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s-au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executat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marcajele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inscripţiile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menţionate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(1). </w:t>
      </w:r>
    </w:p>
    <w:p w14:paraId="425B0F27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Art.7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obiectivelor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sarcinilor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revin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localităţii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art. 27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nr. 241/2006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3A611293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producerea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înmagazinarea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distribuţia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potabile,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preluarea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epurarea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evacuarea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39126F37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exploatarea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siguranţă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eficienţă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tehnico-economică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tehnologiilor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instrucţiunilor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13415458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instituirea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supravegherea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întreţinerea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corespunzător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zonelor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protecţie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sanitară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construcţiilor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instalaţiilor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C4D72C2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strictă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potabile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distribuite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concordanţă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igienico-sanitare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52385E8F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captarea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brute,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descărcarea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orăşeneşti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receptorii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naturali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impuse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acordurile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autorizaţiile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gospodărire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579064DF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întreţinerea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menţinerea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stare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permanentă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97A9F71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contorizarea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cantităţilor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produse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distribuite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facturate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043A97C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creşterea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eficienţei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randamentului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scopul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reducerii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eliminarea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pierderilor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costurilor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producţie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consumurilor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materii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prime,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combustibili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electrică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reproiectarea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reutilarea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retehnologizarea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32E619B4" w14:textId="018C7C10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limitarea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cantităţilor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potabilă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distribuită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reţelele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procesele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industriale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diminuarea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consumurilor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recircularea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refolosirea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reutilizarea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074D725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Art.8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 xml:space="preserve">(1) Pe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existenţei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executarea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întreţinerii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exploatării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respective,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servitute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proprietăţilor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afectate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realizându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-se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titlu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gratuit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durata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existenţei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D6E8E97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ocazia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intervenţiilor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retehnologizări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reparaţii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revizii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avarii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produc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pagube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proprietarilor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vecinătatea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plătească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despăgubiri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Proprietarul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terenului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afectat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servitute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despăgubit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prejudiciile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cauzate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Cuantumul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despăgubirii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stabileşte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părţilor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părţile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înţeleg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judecătorească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2A8D6E86" w14:textId="05801D6D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ţină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evidenţe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distincte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contabilitate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separată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tip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ED5D3BD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3C28B0F5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oprească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temporar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înştiinţarea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prealabilă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fără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asume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răspunderea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aceştia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avarii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grave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căror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remediere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suferă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amânare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care pot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produce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pagube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importante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accidente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explozii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defecţiuni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instalaţiilor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interioare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afectează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buna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anunţa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imediat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situaţia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apărută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mijloacele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le are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dispoziţie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001982CC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restricţioneze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tuturor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pe 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anumită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înştiinţarea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prealabilă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apar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restricţionări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justificate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sursa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racordarea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punerea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funcţiune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capacităţi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întreţinere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planificate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restricţionări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pot face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 Nadrag,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excepţia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forţă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6DBB6CC7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încaseze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contravaloarea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penalităţile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4A48EFA0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întrerupă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notificare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prealabilă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-au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achitat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facturile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 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perioadă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mare de 30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calendaristice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expirării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termenului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facturii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clauzele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Aceleaşi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măsuri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desfiinţarea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branşamentelor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racordurilor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se pot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clandestini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aceştia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au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îndeplinit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impuse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legalitate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B1DB2CD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debranşării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reţeaua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notificări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prealabile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adresate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restant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aplicare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lucrătoare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primirii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transmiterea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curier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scrisoare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recomandată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notificare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considera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îndeplinită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eventual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refuz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primire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acesteia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partea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6D614EF7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f)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reluarea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termen de maximum 5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lucrătoare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efectuarea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cheltuielile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justificate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reluării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suportă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91F5A88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termen de 3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debranşării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reluarea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pierde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reluarea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face ca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un nou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nou contract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52E0F689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ajustarea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periodică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preţului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raport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intervenite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costuri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1B5ECB86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preţului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schimbare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semnificativă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echilibrului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contractual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costurilor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1EB2A0C9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facturare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preţurile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Nadrag;</w:t>
      </w:r>
    </w:p>
    <w:p w14:paraId="2EB2A9E3" w14:textId="1EF58723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debitelor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instanţa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competentă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172C44BB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Art.10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1855768E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angajamentele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contractele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21B1D70A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3E936FFA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măsurile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remedierea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operativă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defecţiunilor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apărute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instalaţiile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sale, precum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înlăturare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consecinţelor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pagubelor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393B9F64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care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încheiat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contracte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3F5E8370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servească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aria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acoperire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licenţiat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27E53DCD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indicatorii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performanţă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Nadrag; </w:t>
      </w:r>
    </w:p>
    <w:p w14:paraId="20809A58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locale, precum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A.N.R.S.C., conform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00ADF6A4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h)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performante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management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conducă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reducerea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costurilor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procedurilor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concurenţiale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normele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achiziţiile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bunuri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2CDBAECC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potabilă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parametrii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potabilitate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impuşi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normative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valorilor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debitelor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presiunii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indiferent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poziţia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schema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02CD8AF3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preluarea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meteorice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verifice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22584C28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întreţină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verifice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contoarelor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măsurare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cantităţilor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prescripţiile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metrologice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sigilare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sigilii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identificare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preveni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sigilarea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neautorizată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306E5B63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emită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factura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cel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târziu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data de 15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lunii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următoare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celei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efectuată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14B4A452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factureze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cantităţile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valorile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măsurate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intermediul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contoarelor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aducând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cunoştinţa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71109439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înregistreze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reclamaţiile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sesizările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verifice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măsurile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impun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rezolvarea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sesizările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răspunde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termen de maximum 30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calendaristice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înregistrarea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24133A45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contract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încheiat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Nadrag; </w:t>
      </w:r>
    </w:p>
    <w:p w14:paraId="10AF25FC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ţină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gestiune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separată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fiecare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preţuri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juste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concordanţă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cheltuielile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efectuate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2A5101E0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q)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încheie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contracte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pagubele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exploatată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desfăşurarea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00C1B33D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r)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deţină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avizele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acordurile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autorizaţiile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licenţele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legislaţia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2205DBDE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principiilor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universalităţii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accesibilităţii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continuităţii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egalităţii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3C3E6F67" w14:textId="4C4E12F4" w:rsidR="00837D39" w:rsidRDefault="00837D39" w:rsidP="002D5A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ș)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echipeze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branşamentele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punctul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delimitare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instalaţiilor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termenele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Nadrag. </w:t>
      </w:r>
    </w:p>
    <w:p w14:paraId="42449164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Art.11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rãspunde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neîndeplinirea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forţã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majoră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precum: </w:t>
      </w:r>
    </w:p>
    <w:p w14:paraId="5B8A9466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evenimente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naturale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incontrolabile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cutremur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erupţia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vulcan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furtună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inundaţie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incendiu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catastrofă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naturală,etc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)</w:t>
      </w:r>
    </w:p>
    <w:p w14:paraId="6E6BFC8C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evenimente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război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atentat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terorist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lovitură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stat,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greve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instituirea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evenimente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asimilate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forţei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majore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); </w:t>
      </w:r>
    </w:p>
    <w:p w14:paraId="3FC46B7D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evenimente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natură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siguranţa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sanitar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veterinare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0E94108C" w14:textId="6A39EEE5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asimilate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forţei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majore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legislaţia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614B7E55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Art.12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răspunde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neîndeplinirea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283A7AEA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ca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întreţinere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reparaţii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modernizări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extinderi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devieri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branşări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schimbări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anunţat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despre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eventualitatea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opririi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specificând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intervalul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timp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oprită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Anunţul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oprire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mass-media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afişare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afectaţi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trebuie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făcut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înainte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cu un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număr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ore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contract; </w:t>
      </w:r>
    </w:p>
    <w:p w14:paraId="603BE347" w14:textId="4B8EBE07" w:rsidR="00837D39" w:rsidRDefault="00837D39" w:rsidP="002D5A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ploilor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torenţiale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depăşirea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capacităţii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proiectate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preluare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debitelor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situaţie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face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dovada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depăşirii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capacităţii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48B0CE8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13</w:t>
      </w:r>
      <w:r>
        <w:rPr>
          <w:rFonts w:ascii="Times New Roman" w:hAnsi="Times New Roman" w:cs="Times New Roman"/>
          <w:iCs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 au,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relaţia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drepturi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157B12A0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solicite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informaţii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întreţinere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proprietatea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încredinţate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2D863ECC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invite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audieri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concilierii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diferendelor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apărute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relaţia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223D434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ajustarea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preţurilor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metodologiilor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elaborate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reglementare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competenţelor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acordate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specială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03909C4C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monitorizeze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exercite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măsurile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indicatorii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performanţă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continuitatea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s-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DC8B512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sancţioneze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operează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indicatorilor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performanţă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eficienţă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care s-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continuitatea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7D76CD8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refuze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justificate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preţurilor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operator;</w:t>
      </w:r>
    </w:p>
    <w:p w14:paraId="1E779D98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 au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6DE5A543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mediu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afaceri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concurenţial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transparent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loial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E01DB66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angajamentele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operator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dare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84AACCC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resursele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tehnico-edilitare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corespunzător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clauzelor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3D3F8A8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păstreze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confidenţialitatea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datelor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informaţiilor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economico-financiare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decât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interes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public.</w:t>
      </w:r>
    </w:p>
    <w:p w14:paraId="25F72A1D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green"/>
        </w:rPr>
      </w:pPr>
    </w:p>
    <w:p w14:paraId="16174F5D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highlight w:val="green"/>
        </w:rPr>
      </w:pPr>
    </w:p>
    <w:p w14:paraId="256ABD4F" w14:textId="3E1CEF88" w:rsidR="00837D39" w:rsidRPr="002D5A07" w:rsidRDefault="00837D39" w:rsidP="002D5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Art. 14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clauzele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astfel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prevăzut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art. 31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241/2006.</w:t>
      </w:r>
    </w:p>
    <w:p w14:paraId="0AED58CB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15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Penalităţile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sancţiunile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aplicabile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aceştia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indicatorilor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performanţă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</w:p>
    <w:p w14:paraId="4E741619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Încălcarea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nr. 241/2006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atrage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răspunderea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disciplinară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civilă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contravenţională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penală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vinovaţi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6809951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 au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sancţioneze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furnizează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/nu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prestează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indicatorilor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performanţă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angajamente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asumate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1E86A945" w14:textId="7777777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aplicarea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penalizări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prejudiciilor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pragului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descurajării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menţinerea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deficienţelor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constatate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5AA694B2" w14:textId="771DF7D7" w:rsidR="00837D39" w:rsidRDefault="00837D39" w:rsidP="0083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solicitarea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retragere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suspendare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licenţei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A.N.R.S.C..</w:t>
      </w:r>
      <w:proofErr w:type="gramEnd"/>
    </w:p>
    <w:p w14:paraId="6E6D5A7E" w14:textId="53B9DF3A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Art.16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obligația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solicita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obține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eliberarea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licenței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termen de 90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5050061" w14:textId="1CB5921C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Art.17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exploatării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încasarea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facturilor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emise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contravalorii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BEC6852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Art.18</w:t>
      </w:r>
      <w:r>
        <w:rPr>
          <w:rFonts w:ascii="Times New Roman" w:hAnsi="Times New Roman" w:cs="Times New Roman"/>
          <w:iCs/>
          <w:sz w:val="24"/>
          <w:szCs w:val="24"/>
        </w:rPr>
        <w:t xml:space="preserve"> (1)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competenţa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 Nadrag.  </w:t>
      </w:r>
    </w:p>
    <w:p w14:paraId="676AFEE2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surselor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273/2006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completarile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nr. 51/2006,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bookmarkStart w:id="2" w:name="_Hlk142294126"/>
      <w:r>
        <w:rPr>
          <w:rFonts w:ascii="Times New Roman" w:hAnsi="Times New Roman" w:cs="Times New Roman"/>
          <w:iCs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2"/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241/2006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EC10FED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(3)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tehnico-edilitare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se face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Nadrag; </w:t>
      </w:r>
    </w:p>
    <w:p w14:paraId="1F8CB930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(4)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Strategia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Planul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include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modernizarea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extinderea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suprastructurii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74A921DA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(5)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fac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iniţierea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fundamentarea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următoarelor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principii:  </w:t>
      </w:r>
    </w:p>
    <w:p w14:paraId="1784A9F9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rentabilităţii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eficienţei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7798002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păstrarea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veniturilor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activităţi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ocale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tehnico-edilitare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 </w:t>
      </w:r>
    </w:p>
    <w:p w14:paraId="6B30C2A9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întărirea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autonomiei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fiscale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unităţilor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crearea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mijloacelor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funcţionării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48A8C9DA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întărirea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autonomiei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garantarea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împrumuturi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interne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externe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tehnico-edilitare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condiţiile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 </w:t>
      </w:r>
    </w:p>
    <w:p w14:paraId="0E547ECC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legislaţiei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achiziţiile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A912057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dispoziţiilor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construcţii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urbanism,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mediului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0C928758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(6)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Bunurile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programelor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aparţin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finanţate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6C5EF75C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(7)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promovate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 Nadrag,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tehnico-edilitare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implică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transferuri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stat,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nominalizează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listele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anuale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unităţii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anexate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odată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acestea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Local; </w:t>
      </w:r>
    </w:p>
    <w:p w14:paraId="12446DB3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(8)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menţionate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(7)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realizează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respectarea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elaborarea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avizarea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documentaţiilor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execuţie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autorizarea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executării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lucrărilor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construcţii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documentaţiilor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amenajarea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teritoriului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;  </w:t>
      </w:r>
    </w:p>
    <w:p w14:paraId="66312772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(9)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Finanțarea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capital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aobiectivelor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administrativ-teritoriale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utilități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asigură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</w:p>
    <w:p w14:paraId="06C31BD5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local,</w:t>
      </w:r>
    </w:p>
    <w:p w14:paraId="060F5E93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b)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credite</w:t>
      </w:r>
      <w:proofErr w:type="spellEnd"/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bancare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pot fi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garantate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administrativ-teritorială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român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entități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acordarea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garanții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bancare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16ABD69E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nerambursabile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obținute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angajamente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bilaterale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multilaterale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9551B20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special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constituite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taxe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instituite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30FE8F84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transferate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stat, ca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cofinanțarea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investiții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realizate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externă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ordonatori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principali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stat;</w:t>
      </w:r>
    </w:p>
    <w:p w14:paraId="30D47C38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f)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fonduri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dispozișie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utilizatori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62AE2BD6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g)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surse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constituite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C1CF90F" w14:textId="7CB2EE12" w:rsidR="00837D39" w:rsidRPr="002D5A07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(10)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aparţinând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domeniului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sistemelor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se face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diligenţa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bun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proprietar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E8B8467" w14:textId="77777777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19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atribuie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SERVICIUL DE ALIMENTARE CU APA SI CANALIZARE NADRAG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furniza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dreptul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obligaţia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exploata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tehnico-edilitară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aferentă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schimbul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redevenţe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85B4D69" w14:textId="776427B0" w:rsidR="00837D39" w:rsidRPr="002D5A07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bunurile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Nadrag, conform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hotărari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Palatino Linotype" w:hAnsi="Times New Roman" w:cs="Times New Roman"/>
          <w:iCs/>
          <w:sz w:val="24"/>
          <w:szCs w:val="24"/>
        </w:rPr>
        <w:t>ș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precum </w:t>
      </w:r>
      <w:proofErr w:type="spellStart"/>
      <w:r>
        <w:rPr>
          <w:rFonts w:ascii="Times New Roman" w:eastAsia="Palatino Linotype" w:hAnsi="Times New Roman" w:cs="Times New Roman"/>
          <w:iCs/>
          <w:sz w:val="24"/>
          <w:szCs w:val="24"/>
        </w:rPr>
        <w:t>ș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gestiunea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Palatino Linotype" w:hAnsi="Times New Roman" w:cs="Times New Roman"/>
          <w:iCs/>
          <w:sz w:val="24"/>
          <w:szCs w:val="24"/>
        </w:rPr>
        <w:t>ș</w:t>
      </w:r>
      <w:r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redevetei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datorate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bugetului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operator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stabilește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4788.2 lei/an,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196.14 lei/an,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redevenţei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luată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considerare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calculată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similar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amortizării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fixe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aflate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totala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– 5,745,841 lei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- 235,376 lei),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componente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concesionat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puse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dispoziţia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gradul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suportabilitate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populaţiei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(2.5%).</w:t>
      </w:r>
    </w:p>
    <w:p w14:paraId="31B57848" w14:textId="3DED980A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20 </w:t>
      </w:r>
      <w:r>
        <w:rPr>
          <w:rFonts w:ascii="Times New Roman" w:hAnsi="Times New Roman" w:cs="Times New Roman"/>
          <w:bCs/>
          <w:iCs/>
          <w:sz w:val="24"/>
          <w:szCs w:val="24"/>
        </w:rPr>
        <w:t>(1)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Contravaloarea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determina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prețurilor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cantităților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procedurii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facturare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La data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intrării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operatorul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practica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pretul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</w:t>
      </w:r>
      <w:r w:rsidR="00E66A85">
        <w:rPr>
          <w:rFonts w:ascii="Times New Roman" w:hAnsi="Times New Roman" w:cs="Times New Roman"/>
          <w:iCs/>
          <w:sz w:val="24"/>
          <w:szCs w:val="24"/>
        </w:rPr>
        <w:t xml:space="preserve"> 4,70</w:t>
      </w:r>
      <w:r>
        <w:rPr>
          <w:rFonts w:ascii="Times New Roman" w:hAnsi="Times New Roman" w:cs="Times New Roman"/>
          <w:iCs/>
          <w:sz w:val="24"/>
          <w:szCs w:val="24"/>
        </w:rPr>
        <w:t xml:space="preserve"> lei/mc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66A85">
        <w:rPr>
          <w:rFonts w:ascii="Times New Roman" w:hAnsi="Times New Roman" w:cs="Times New Roman"/>
          <w:iCs/>
          <w:sz w:val="24"/>
          <w:szCs w:val="24"/>
        </w:rPr>
        <w:t>3,73</w:t>
      </w:r>
      <w:r>
        <w:rPr>
          <w:rFonts w:ascii="Times New Roman" w:hAnsi="Times New Roman" w:cs="Times New Roman"/>
          <w:iCs/>
          <w:sz w:val="24"/>
          <w:szCs w:val="24"/>
        </w:rPr>
        <w:t xml:space="preserve"> lei/mc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7C9E87DC" w14:textId="58539494" w:rsidR="00837D39" w:rsidRDefault="00837D39" w:rsidP="002D5A0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(2)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Prețurile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tarifele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ajustate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Strategiei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tarifare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fi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elaborată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Cosiliului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dare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administrare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public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alimentare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673685B3" w14:textId="1977E588" w:rsidR="00837D39" w:rsidRDefault="00837D39" w:rsidP="00837D3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21</w:t>
      </w:r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Inventarul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mobile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imobile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proprietate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privată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Nadrag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referitoare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infrastructura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nr. 3).</w:t>
      </w:r>
    </w:p>
    <w:p w14:paraId="645DB9F1" w14:textId="27AD5E3C" w:rsidR="00837D39" w:rsidRPr="002D5A07" w:rsidRDefault="00837D39" w:rsidP="002D5A0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Art. 22</w:t>
      </w:r>
      <w:r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verbal 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predare-preluare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bunurilor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nr. 4).</w:t>
      </w:r>
    </w:p>
    <w:p w14:paraId="4C272B89" w14:textId="4104F6BE" w:rsidR="00837D39" w:rsidRPr="002D5A07" w:rsidRDefault="00837D39" w:rsidP="002D5A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23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nr.1, 2, 3, 4 fac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B48974" w14:textId="425D8BD7" w:rsidR="00837D39" w:rsidRDefault="00837D39" w:rsidP="001D1F40">
      <w:pPr>
        <w:pStyle w:val="Corptext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bidi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>
        <w:rPr>
          <w:sz w:val="24"/>
          <w:szCs w:val="24"/>
        </w:rPr>
        <w:t xml:space="preserve">. Aducerea la îndeplinire a prezentei </w:t>
      </w:r>
      <w:proofErr w:type="spellStart"/>
      <w:r>
        <w:rPr>
          <w:sz w:val="24"/>
          <w:szCs w:val="24"/>
        </w:rPr>
        <w:t>hotarari</w:t>
      </w:r>
      <w:proofErr w:type="spellEnd"/>
      <w:r>
        <w:rPr>
          <w:sz w:val="24"/>
          <w:szCs w:val="24"/>
        </w:rPr>
        <w:t xml:space="preserve"> se asigură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 d-nul primar  al comunei </w:t>
      </w:r>
      <w:r>
        <w:rPr>
          <w:sz w:val="24"/>
          <w:szCs w:val="24"/>
        </w:rPr>
        <w:lastRenderedPageBreak/>
        <w:t xml:space="preserve">Nadrag.                    </w:t>
      </w:r>
    </w:p>
    <w:p w14:paraId="0EB97581" w14:textId="220F2CF3" w:rsidR="001D1F40" w:rsidRPr="001D1F40" w:rsidRDefault="00837D39" w:rsidP="001D1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F40" w:rsidRPr="001D1F4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1D1F4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26</w:t>
      </w:r>
      <w:r w:rsidR="001D1F40" w:rsidRPr="001D1F4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bookmarkStart w:id="3" w:name="_Hlk151971071"/>
      <w:r w:rsidR="001D1F40" w:rsidRPr="001D1F4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Prezenta hotărâre a fost adoptată cu </w:t>
      </w:r>
      <w:r w:rsidR="0059600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voturi</w:t>
      </w:r>
      <w:proofErr w:type="spellEnd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prezenți</w:t>
      </w:r>
      <w:proofErr w:type="spellEnd"/>
      <w:r w:rsidR="0059600F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dintre</w:t>
      </w:r>
      <w:proofErr w:type="spellEnd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toti</w:t>
      </w:r>
      <w:proofErr w:type="spellEnd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membri</w:t>
      </w:r>
      <w:proofErr w:type="spellEnd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="001D1F40" w:rsidRPr="001D1F40">
        <w:rPr>
          <w:rFonts w:ascii="Times New Roman" w:eastAsia="Times New Roman" w:hAnsi="Times New Roman" w:cs="Times New Roman"/>
          <w:sz w:val="24"/>
          <w:szCs w:val="24"/>
        </w:rPr>
        <w:t xml:space="preserve"> local.</w:t>
      </w:r>
    </w:p>
    <w:bookmarkEnd w:id="3"/>
    <w:p w14:paraId="7BDD8D4F" w14:textId="201864DD" w:rsidR="001D1F40" w:rsidRPr="001D1F40" w:rsidRDefault="001D1F40" w:rsidP="001D1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D1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27</w:t>
      </w:r>
      <w:r w:rsidRPr="001D1F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1D1F40">
        <w:rPr>
          <w:rFonts w:ascii="Times New Roman" w:hAnsi="Times New Roman" w:cs="Times New Roman"/>
          <w:sz w:val="24"/>
          <w:szCs w:val="24"/>
          <w:lang w:val="ro-RO"/>
        </w:rPr>
        <w:t>Prezenta hotărâre se comunică :</w:t>
      </w:r>
    </w:p>
    <w:p w14:paraId="7D82F96B" w14:textId="77777777" w:rsidR="001D1F40" w:rsidRPr="001D1F40" w:rsidRDefault="001D1F40" w:rsidP="001D1F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D1F40">
        <w:rPr>
          <w:rFonts w:ascii="Times New Roman" w:hAnsi="Times New Roman" w:cs="Times New Roman"/>
          <w:sz w:val="24"/>
          <w:szCs w:val="24"/>
          <w:lang w:val="ro-RO"/>
        </w:rPr>
        <w:t>Instituţiei</w:t>
      </w:r>
      <w:proofErr w:type="spellEnd"/>
      <w:r w:rsidRPr="001D1F40">
        <w:rPr>
          <w:rFonts w:ascii="Times New Roman" w:hAnsi="Times New Roman" w:cs="Times New Roman"/>
          <w:sz w:val="24"/>
          <w:szCs w:val="24"/>
          <w:lang w:val="ro-RO"/>
        </w:rPr>
        <w:t xml:space="preserve"> Prefectului </w:t>
      </w:r>
      <w:proofErr w:type="spellStart"/>
      <w:r w:rsidRPr="001D1F40">
        <w:rPr>
          <w:rFonts w:ascii="Times New Roman" w:hAnsi="Times New Roman" w:cs="Times New Roman"/>
          <w:sz w:val="24"/>
          <w:szCs w:val="24"/>
          <w:lang w:val="ro-RO"/>
        </w:rPr>
        <w:t>judeţul</w:t>
      </w:r>
      <w:proofErr w:type="spellEnd"/>
      <w:r w:rsidRPr="001D1F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D1F40">
        <w:rPr>
          <w:rFonts w:ascii="Times New Roman" w:hAnsi="Times New Roman" w:cs="Times New Roman"/>
          <w:sz w:val="24"/>
          <w:szCs w:val="24"/>
          <w:lang w:val="ro-RO"/>
        </w:rPr>
        <w:t>Timiş</w:t>
      </w:r>
      <w:proofErr w:type="spellEnd"/>
      <w:r w:rsidRPr="001D1F40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14:paraId="24A78977" w14:textId="77777777" w:rsidR="001D1F40" w:rsidRDefault="001D1F40" w:rsidP="001D1F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F40">
        <w:rPr>
          <w:rFonts w:ascii="Times New Roman" w:hAnsi="Times New Roman" w:cs="Times New Roman"/>
          <w:sz w:val="24"/>
          <w:szCs w:val="24"/>
          <w:lang w:val="ro-RO"/>
        </w:rPr>
        <w:t>Primarului comunei Nădrag</w:t>
      </w:r>
    </w:p>
    <w:p w14:paraId="1BC37980" w14:textId="1B801530" w:rsidR="001D1F40" w:rsidRPr="001D1F40" w:rsidRDefault="001D1F40" w:rsidP="001D1F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Serviciului</w:t>
      </w:r>
      <w:r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w w:val="120"/>
          <w:sz w:val="24"/>
          <w:szCs w:val="24"/>
        </w:rPr>
        <w:t>d</w:t>
      </w:r>
      <w:r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e Alimentare </w:t>
      </w:r>
      <w:r>
        <w:rPr>
          <w:rFonts w:ascii="Times New Roman" w:hAnsi="Times New Roman" w:cs="Times New Roman"/>
          <w:bCs/>
          <w:w w:val="120"/>
          <w:sz w:val="24"/>
          <w:szCs w:val="24"/>
        </w:rPr>
        <w:t>c</w:t>
      </w:r>
      <w:r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u Apa </w:t>
      </w:r>
      <w:proofErr w:type="spellStart"/>
      <w:r>
        <w:rPr>
          <w:rFonts w:ascii="Times New Roman" w:hAnsi="Times New Roman" w:cs="Times New Roman"/>
          <w:bCs/>
          <w:w w:val="120"/>
          <w:sz w:val="24"/>
          <w:szCs w:val="24"/>
        </w:rPr>
        <w:t>ș</w:t>
      </w:r>
      <w:r w:rsidRPr="00920FC1">
        <w:rPr>
          <w:rFonts w:ascii="Times New Roman" w:hAnsi="Times New Roman" w:cs="Times New Roman"/>
          <w:bCs/>
          <w:w w:val="120"/>
          <w:sz w:val="24"/>
          <w:szCs w:val="24"/>
        </w:rPr>
        <w:t>i</w:t>
      </w:r>
      <w:proofErr w:type="spellEnd"/>
      <w:r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</w:t>
      </w:r>
      <w:proofErr w:type="spellStart"/>
      <w:r w:rsidRPr="00920FC1">
        <w:rPr>
          <w:rFonts w:ascii="Times New Roman" w:hAnsi="Times New Roman" w:cs="Times New Roman"/>
          <w:bCs/>
          <w:w w:val="120"/>
          <w:sz w:val="24"/>
          <w:szCs w:val="24"/>
        </w:rPr>
        <w:t>Canalizare</w:t>
      </w:r>
      <w:proofErr w:type="spellEnd"/>
      <w:r w:rsidRPr="00920FC1">
        <w:rPr>
          <w:rFonts w:ascii="Times New Roman" w:hAnsi="Times New Roman" w:cs="Times New Roman"/>
          <w:bCs/>
          <w:w w:val="120"/>
          <w:sz w:val="24"/>
          <w:szCs w:val="24"/>
        </w:rPr>
        <w:t xml:space="preserve"> Nadrag</w:t>
      </w:r>
    </w:p>
    <w:p w14:paraId="4A515CFE" w14:textId="77777777" w:rsidR="001D1F40" w:rsidRPr="001D1F40" w:rsidRDefault="001D1F40" w:rsidP="001D1F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D1F40">
        <w:rPr>
          <w:rFonts w:ascii="Times New Roman" w:hAnsi="Times New Roman" w:cs="Times New Roman"/>
          <w:sz w:val="24"/>
          <w:szCs w:val="24"/>
          <w:lang w:val="ro-RO"/>
        </w:rPr>
        <w:t>Contabilitate</w:t>
      </w:r>
    </w:p>
    <w:p w14:paraId="2E69500B" w14:textId="77777777" w:rsidR="001D1F40" w:rsidRPr="001D1F40" w:rsidRDefault="001D1F40" w:rsidP="001D1F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1D1F40">
        <w:rPr>
          <w:rFonts w:ascii="Times New Roman" w:hAnsi="Times New Roman" w:cs="Times New Roman"/>
          <w:sz w:val="24"/>
          <w:szCs w:val="24"/>
          <w:lang w:val="ro-RO"/>
        </w:rPr>
        <w:t>Afişare</w:t>
      </w:r>
      <w:proofErr w:type="spellEnd"/>
      <w:r w:rsidRPr="001D1F40">
        <w:rPr>
          <w:rFonts w:ascii="Times New Roman" w:hAnsi="Times New Roman" w:cs="Times New Roman"/>
          <w:sz w:val="24"/>
          <w:szCs w:val="24"/>
          <w:lang w:val="ro-RO"/>
        </w:rPr>
        <w:t xml:space="preserve">.    </w:t>
      </w:r>
      <w:r w:rsidRPr="001D1F40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                                                  </w:t>
      </w:r>
    </w:p>
    <w:p w14:paraId="193092AF" w14:textId="77777777" w:rsidR="001D1F40" w:rsidRPr="001D1F40" w:rsidRDefault="001D1F40" w:rsidP="001D1F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1D1F40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                            </w:t>
      </w:r>
    </w:p>
    <w:p w14:paraId="7778117F" w14:textId="77777777" w:rsidR="001D1F40" w:rsidRPr="001D1F40" w:rsidRDefault="001D1F40" w:rsidP="001D1F40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  <w:lang w:val="ro-RO"/>
          <w14:ligatures w14:val="standardContextual"/>
        </w:rPr>
      </w:pPr>
      <w:r w:rsidRPr="001D1F40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Președinte ședință                                           </w:t>
      </w:r>
    </w:p>
    <w:p w14:paraId="544431BE" w14:textId="1953DD7F" w:rsidR="001D1F40" w:rsidRPr="001D1F40" w:rsidRDefault="001D1F40" w:rsidP="001D1F40">
      <w:pPr>
        <w:spacing w:after="0" w:line="240" w:lineRule="auto"/>
        <w:ind w:left="6521" w:hanging="6521"/>
        <w:jc w:val="both"/>
        <w:rPr>
          <w:rFonts w:ascii="Times New Roman" w:hAnsi="Times New Roman"/>
          <w:sz w:val="24"/>
          <w:szCs w:val="24"/>
          <w:lang w:val="ro-RO"/>
          <w14:ligatures w14:val="standardContextual"/>
        </w:rPr>
      </w:pPr>
      <w:r w:rsidRPr="001D1F40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                                                                                                            </w:t>
      </w:r>
      <w:r w:rsidR="0059600F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   Neag Cristian</w:t>
      </w:r>
      <w:r w:rsidRPr="001D1F40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 </w:t>
      </w:r>
    </w:p>
    <w:p w14:paraId="5735228F" w14:textId="77777777" w:rsidR="001D1F40" w:rsidRPr="001D1F40" w:rsidRDefault="001D1F40" w:rsidP="001D1F40">
      <w:pPr>
        <w:spacing w:after="0" w:line="240" w:lineRule="auto"/>
        <w:ind w:left="6521" w:hanging="6521"/>
        <w:jc w:val="both"/>
        <w:rPr>
          <w:rFonts w:ascii="Times New Roman" w:hAnsi="Times New Roman"/>
          <w:sz w:val="24"/>
          <w:szCs w:val="24"/>
          <w:lang w:val="ro-RO"/>
          <w14:ligatures w14:val="standardContextual"/>
        </w:rPr>
      </w:pPr>
    </w:p>
    <w:p w14:paraId="2C7BAE4E" w14:textId="77777777" w:rsidR="001D1F40" w:rsidRPr="001D1F40" w:rsidRDefault="001D1F40" w:rsidP="001D1F40">
      <w:pPr>
        <w:spacing w:after="0" w:line="240" w:lineRule="auto"/>
        <w:ind w:left="6521" w:hanging="6521"/>
        <w:jc w:val="both"/>
        <w:rPr>
          <w:rFonts w:ascii="Times New Roman" w:hAnsi="Times New Roman"/>
          <w:sz w:val="24"/>
          <w:szCs w:val="24"/>
          <w:lang w:val="ro-RO"/>
          <w14:ligatures w14:val="standardContextual"/>
        </w:rPr>
      </w:pPr>
      <w:r w:rsidRPr="001D1F40">
        <w:rPr>
          <w:rFonts w:ascii="Times New Roman" w:hAnsi="Times New Roman"/>
          <w:sz w:val="24"/>
          <w:szCs w:val="24"/>
          <w:lang w:val="ro-RO"/>
          <w14:ligatures w14:val="standardContextual"/>
        </w:rPr>
        <w:t xml:space="preserve">               </w:t>
      </w:r>
    </w:p>
    <w:p w14:paraId="1FDA9E76" w14:textId="77777777" w:rsidR="001D1F40" w:rsidRPr="001D1F40" w:rsidRDefault="001D1F40" w:rsidP="001D1F4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1D1F40">
        <w:rPr>
          <w:rFonts w:ascii="Times New Roman" w:hAnsi="Times New Roman"/>
          <w:sz w:val="24"/>
          <w:szCs w:val="24"/>
          <w:lang w:val="ro-RO"/>
          <w14:ligatures w14:val="standardContextual"/>
        </w:rPr>
        <w:t>Contrasemnează secretar general : Wagner Dan Antoniu</w:t>
      </w:r>
      <w:r w:rsidRPr="001D1F40">
        <w:rPr>
          <w:kern w:val="2"/>
          <w:sz w:val="24"/>
          <w:szCs w:val="24"/>
          <w14:ligatures w14:val="standardContextual"/>
        </w:rPr>
        <w:t xml:space="preserve">                                               </w:t>
      </w:r>
    </w:p>
    <w:p w14:paraId="360A0999" w14:textId="20FDCA38" w:rsidR="00837D39" w:rsidRDefault="00837D39" w:rsidP="00837D3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F0022" w14:textId="77777777" w:rsidR="00837D39" w:rsidRDefault="00837D39" w:rsidP="00837D3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A9D7874" w14:textId="767AB3C8" w:rsidR="00837D39" w:rsidRDefault="00837D39" w:rsidP="002D5A07">
      <w:pPr>
        <w:pStyle w:val="Frspaiere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3622EE5B" w14:textId="77777777" w:rsidR="00837D39" w:rsidRDefault="00837D39" w:rsidP="00837D39">
      <w:pPr>
        <w:jc w:val="both"/>
        <w:rPr>
          <w:rFonts w:ascii="Times New Roman" w:hAnsi="Times New Roman" w:cs="Times New Roman"/>
          <w:b/>
          <w:bCs/>
        </w:rPr>
      </w:pPr>
    </w:p>
    <w:p w14:paraId="751EE854" w14:textId="77777777" w:rsidR="00837D39" w:rsidRDefault="00837D39" w:rsidP="00837D39">
      <w:pPr>
        <w:pStyle w:val="Corptext"/>
        <w:spacing w:before="1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755" w:type="dxa"/>
        <w:tblInd w:w="2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8"/>
        <w:gridCol w:w="4817"/>
      </w:tblGrid>
      <w:tr w:rsidR="00837D39" w14:paraId="78185D5F" w14:textId="77777777" w:rsidTr="00837D39">
        <w:trPr>
          <w:trHeight w:val="288"/>
        </w:trPr>
        <w:tc>
          <w:tcPr>
            <w:tcW w:w="2940" w:type="dxa"/>
          </w:tcPr>
          <w:p w14:paraId="3DC3E576" w14:textId="77777777" w:rsidR="00837D39" w:rsidRDefault="00837D39">
            <w:pPr>
              <w:spacing w:after="160" w:line="256" w:lineRule="auto"/>
              <w:ind w:left="-2931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F46BEF4" w14:textId="77777777" w:rsidR="00837D39" w:rsidRDefault="00837D39">
            <w:pPr>
              <w:pStyle w:val="TableParagraph"/>
              <w:spacing w:line="268" w:lineRule="exact"/>
              <w:ind w:left="1002" w:right="141"/>
              <w:jc w:val="both"/>
              <w:rPr>
                <w:sz w:val="26"/>
              </w:rPr>
            </w:pPr>
          </w:p>
        </w:tc>
      </w:tr>
    </w:tbl>
    <w:p w14:paraId="59C2F155" w14:textId="77777777" w:rsidR="00837D39" w:rsidRDefault="00837D39" w:rsidP="00837D39"/>
    <w:p w14:paraId="4AAF085C" w14:textId="77777777" w:rsidR="00FD0999" w:rsidRDefault="00FD0999"/>
    <w:sectPr w:rsidR="00FD0999" w:rsidSect="002D5A07">
      <w:pgSz w:w="12240" w:h="15840"/>
      <w:pgMar w:top="90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B Garamond 12">
    <w:altName w:val="Times New Roman"/>
    <w:charset w:val="00"/>
    <w:family w:val="roman"/>
    <w:pitch w:val="variable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077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C9"/>
    <w:rsid w:val="0000696E"/>
    <w:rsid w:val="000A4956"/>
    <w:rsid w:val="00115294"/>
    <w:rsid w:val="001A0256"/>
    <w:rsid w:val="001D1F40"/>
    <w:rsid w:val="002477FB"/>
    <w:rsid w:val="002D5A07"/>
    <w:rsid w:val="0049750D"/>
    <w:rsid w:val="00595401"/>
    <w:rsid w:val="0059600F"/>
    <w:rsid w:val="007A3D2B"/>
    <w:rsid w:val="007D70C6"/>
    <w:rsid w:val="007E3260"/>
    <w:rsid w:val="00837D39"/>
    <w:rsid w:val="00920FC1"/>
    <w:rsid w:val="009C4624"/>
    <w:rsid w:val="009F5320"/>
    <w:rsid w:val="00A949F4"/>
    <w:rsid w:val="00B3375E"/>
    <w:rsid w:val="00B70803"/>
    <w:rsid w:val="00BD2DBC"/>
    <w:rsid w:val="00E03DC9"/>
    <w:rsid w:val="00E20F3F"/>
    <w:rsid w:val="00E66A85"/>
    <w:rsid w:val="00EB54E7"/>
    <w:rsid w:val="00F13FAB"/>
    <w:rsid w:val="00FB67A2"/>
    <w:rsid w:val="00FD0999"/>
    <w:rsid w:val="00FD4F3D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C719"/>
  <w15:chartTrackingRefBased/>
  <w15:docId w15:val="{F881806E-3513-4B32-B1C2-E95B778D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3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3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3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03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3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3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3D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3D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3D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3D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3D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3D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03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3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03D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03DC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03D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3D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3DC9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unhideWhenUsed/>
    <w:qFormat/>
    <w:rsid w:val="00837D39"/>
    <w:pPr>
      <w:widowControl w:val="0"/>
      <w:autoSpaceDE w:val="0"/>
      <w:autoSpaceDN w:val="0"/>
      <w:spacing w:after="0" w:line="240" w:lineRule="auto"/>
    </w:pPr>
    <w:rPr>
      <w:rFonts w:ascii="EB Garamond 12" w:eastAsia="EB Garamond 12" w:hAnsi="EB Garamond 12" w:cs="EB Garamond 12"/>
      <w:sz w:val="26"/>
      <w:szCs w:val="26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37D39"/>
    <w:rPr>
      <w:rFonts w:ascii="EB Garamond 12" w:eastAsia="EB Garamond 12" w:hAnsi="EB Garamond 12" w:cs="EB Garamond 12"/>
      <w:kern w:val="0"/>
      <w:sz w:val="26"/>
      <w:szCs w:val="26"/>
      <w:lang w:val="ro-RO"/>
      <w14:ligatures w14:val="none"/>
    </w:rPr>
  </w:style>
  <w:style w:type="paragraph" w:styleId="Frspaiere">
    <w:name w:val="No Spacing"/>
    <w:uiPriority w:val="1"/>
    <w:qFormat/>
    <w:rsid w:val="00837D39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37D39"/>
    <w:pPr>
      <w:widowControl w:val="0"/>
      <w:autoSpaceDE w:val="0"/>
      <w:autoSpaceDN w:val="0"/>
      <w:spacing w:after="0" w:line="240" w:lineRule="auto"/>
    </w:pPr>
    <w:rPr>
      <w:rFonts w:ascii="EB Garamond 12" w:eastAsia="EB Garamond 12" w:hAnsi="EB Garamond 12" w:cs="EB Garamond 1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5017</Words>
  <Characters>28601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14</cp:revision>
  <cp:lastPrinted>2025-07-11T11:36:00Z</cp:lastPrinted>
  <dcterms:created xsi:type="dcterms:W3CDTF">2025-06-30T09:06:00Z</dcterms:created>
  <dcterms:modified xsi:type="dcterms:W3CDTF">2025-07-11T11:38:00Z</dcterms:modified>
</cp:coreProperties>
</file>